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5A29A" w14:textId="77777777" w:rsidR="00484850" w:rsidRPr="00615C5E" w:rsidRDefault="00484850">
      <w:pPr>
        <w:rPr>
          <w:b/>
          <w:sz w:val="28"/>
          <w:szCs w:val="28"/>
        </w:rPr>
      </w:pPr>
      <w:r w:rsidRPr="00615C5E">
        <w:rPr>
          <w:b/>
          <w:sz w:val="28"/>
          <w:szCs w:val="28"/>
        </w:rPr>
        <w:t xml:space="preserve">SMS STEM Partnership </w:t>
      </w:r>
    </w:p>
    <w:p w14:paraId="3B6E38CF" w14:textId="77777777" w:rsidR="003D4D50" w:rsidRPr="00615C5E" w:rsidRDefault="003D4D50">
      <w:pPr>
        <w:rPr>
          <w:b/>
          <w:sz w:val="28"/>
          <w:szCs w:val="28"/>
        </w:rPr>
      </w:pPr>
    </w:p>
    <w:p w14:paraId="498BB2A8" w14:textId="77777777" w:rsidR="00664C79" w:rsidRPr="00615C5E" w:rsidRDefault="00484850">
      <w:pPr>
        <w:rPr>
          <w:b/>
          <w:sz w:val="28"/>
          <w:szCs w:val="28"/>
        </w:rPr>
      </w:pPr>
      <w:r w:rsidRPr="00615C5E">
        <w:rPr>
          <w:b/>
          <w:sz w:val="28"/>
          <w:szCs w:val="28"/>
        </w:rPr>
        <w:t>Proposed Regional STEM Hub Grant Proposal</w:t>
      </w:r>
    </w:p>
    <w:p w14:paraId="0F51A02A" w14:textId="77777777" w:rsidR="00484850" w:rsidRDefault="00484850" w:rsidP="00484850">
      <w:pPr>
        <w:jc w:val="right"/>
      </w:pPr>
      <w:r>
        <w:t>December 16, 2013</w:t>
      </w:r>
    </w:p>
    <w:p w14:paraId="497A2986" w14:textId="77777777" w:rsidR="00484850" w:rsidRDefault="00484850"/>
    <w:p w14:paraId="6E97D158" w14:textId="77777777" w:rsidR="00E37B2C" w:rsidRDefault="00E37B2C">
      <w:pPr>
        <w:rPr>
          <w:b/>
        </w:rPr>
      </w:pPr>
    </w:p>
    <w:p w14:paraId="51470ABD" w14:textId="2CE0CB04" w:rsidR="00484850" w:rsidRPr="00615C5E" w:rsidRDefault="005A3088">
      <w:pPr>
        <w:rPr>
          <w:b/>
          <w:sz w:val="28"/>
          <w:szCs w:val="28"/>
        </w:rPr>
      </w:pPr>
      <w:r w:rsidRPr="00615C5E">
        <w:rPr>
          <w:b/>
          <w:sz w:val="28"/>
          <w:szCs w:val="28"/>
        </w:rPr>
        <w:t xml:space="preserve">I. </w:t>
      </w:r>
      <w:r w:rsidR="00E37B2C" w:rsidRPr="00615C5E">
        <w:rPr>
          <w:b/>
          <w:sz w:val="28"/>
          <w:szCs w:val="28"/>
        </w:rPr>
        <w:t>Background</w:t>
      </w:r>
    </w:p>
    <w:p w14:paraId="2D73D28C" w14:textId="77777777" w:rsidR="00E37B2C" w:rsidRDefault="00E37B2C"/>
    <w:p w14:paraId="4F610F30" w14:textId="2DF58791" w:rsidR="00E37B2C" w:rsidRDefault="00E37B2C">
      <w:r>
        <w:t xml:space="preserve">The Oregon Department of Education has issued a request for proposals to provide Regional STEM Hubs. </w:t>
      </w:r>
      <w:r w:rsidR="00871EF8">
        <w:t>The Regional STEM Hub Grants are intended to develop, expand and combine collaborative efforts established by local partnerships to increase students’ proficiency, interest, and attainment of post-secondary credentials and degrees in STEM or STEAM or CTE</w:t>
      </w:r>
      <w:r>
        <w:t>. Regional STEM Hubs must focus on these five key elements for sustained success: 1) common agenda, 2) shared measurement systems, 3) mutually reinforcing activities, 4) continuous communication, and 5) backbone support organization.</w:t>
      </w:r>
      <w:r w:rsidR="00871EF8">
        <w:t xml:space="preserve"> Regional STEM Hubs must also incorporate and adopt the principles of the OEIB Equity Lens. Applicants can request Phase 1 funding (to develop a framework of partnerships) or Phase 2 funding – to advance implementation of developed Regional STEM Hubs.</w:t>
      </w:r>
    </w:p>
    <w:p w14:paraId="4B652A0D" w14:textId="77777777" w:rsidR="003D4D50" w:rsidRDefault="003D4D50"/>
    <w:p w14:paraId="59908578" w14:textId="0E8625CF" w:rsidR="00E37B2C" w:rsidRDefault="00871EF8">
      <w:r>
        <w:t>Grant funding will begin on February 10, 2014 and end on June 30, 2015. Between $100,000 and $750,000 will be available per application. Matching funds equivalent to 50% of the grant award must be secured by the grantee.</w:t>
      </w:r>
    </w:p>
    <w:p w14:paraId="25AB1D38" w14:textId="77777777" w:rsidR="00871EF8" w:rsidRDefault="00871EF8"/>
    <w:p w14:paraId="3F5E8D4F" w14:textId="77777777" w:rsidR="00871EF8" w:rsidRDefault="00871EF8"/>
    <w:p w14:paraId="1E41A71E" w14:textId="42484A97" w:rsidR="00871EF8" w:rsidRPr="00615C5E" w:rsidRDefault="005A3088">
      <w:pPr>
        <w:rPr>
          <w:b/>
          <w:sz w:val="28"/>
          <w:szCs w:val="28"/>
        </w:rPr>
      </w:pPr>
      <w:r w:rsidRPr="00615C5E">
        <w:rPr>
          <w:b/>
          <w:sz w:val="28"/>
          <w:szCs w:val="28"/>
        </w:rPr>
        <w:t xml:space="preserve">II. </w:t>
      </w:r>
      <w:r w:rsidR="00871EF8" w:rsidRPr="00615C5E">
        <w:rPr>
          <w:b/>
          <w:sz w:val="28"/>
          <w:szCs w:val="28"/>
        </w:rPr>
        <w:t xml:space="preserve">Proposed </w:t>
      </w:r>
      <w:r w:rsidRPr="00615C5E">
        <w:rPr>
          <w:b/>
          <w:sz w:val="28"/>
          <w:szCs w:val="28"/>
        </w:rPr>
        <w:t>Activities</w:t>
      </w:r>
    </w:p>
    <w:p w14:paraId="57B4F55A" w14:textId="77777777" w:rsidR="00871EF8" w:rsidRDefault="00871EF8"/>
    <w:p w14:paraId="1CEA9A43" w14:textId="20050EB4" w:rsidR="00871EF8" w:rsidRDefault="00871EF8">
      <w:r>
        <w:t xml:space="preserve">The SMS STEM Partnership is proposing to submit a Phase 2 application, requesting $750,000 to implement the STEM Hub, including initial implementation of the three primary partnership strategies: </w:t>
      </w:r>
      <w:r w:rsidR="00554870">
        <w:t xml:space="preserve">STEM NETwork, </w:t>
      </w:r>
      <w:r w:rsidR="00554870">
        <w:t>STEM Learning Community</w:t>
      </w:r>
      <w:r>
        <w:t xml:space="preserve">, and </w:t>
      </w:r>
      <w:r w:rsidR="00554870">
        <w:t>STEM Accelerated C</w:t>
      </w:r>
      <w:r>
        <w:t>redit.</w:t>
      </w:r>
    </w:p>
    <w:p w14:paraId="0FF321CC" w14:textId="77777777" w:rsidR="00554870" w:rsidRDefault="00554870"/>
    <w:p w14:paraId="7D6450D1" w14:textId="08A18EDD" w:rsidR="00554870" w:rsidRDefault="00554870">
      <w:r>
        <w:t>Questions for Work Groups:  Are these the activities and impacts that our partnership can deliver during the 15-month grant period?</w:t>
      </w:r>
    </w:p>
    <w:p w14:paraId="174BC63F" w14:textId="77777777" w:rsidR="003D4D50" w:rsidRDefault="003D4D50"/>
    <w:tbl>
      <w:tblPr>
        <w:tblStyle w:val="TableGrid"/>
        <w:tblW w:w="0" w:type="auto"/>
        <w:tblLook w:val="04A0" w:firstRow="1" w:lastRow="0" w:firstColumn="1" w:lastColumn="0" w:noHBand="0" w:noVBand="1"/>
      </w:tblPr>
      <w:tblGrid>
        <w:gridCol w:w="7038"/>
        <w:gridCol w:w="2538"/>
      </w:tblGrid>
      <w:tr w:rsidR="00B47944" w:rsidRPr="00AB0075" w14:paraId="78721152" w14:textId="77777777" w:rsidTr="00554870">
        <w:trPr>
          <w:tblHeader/>
        </w:trPr>
        <w:tc>
          <w:tcPr>
            <w:tcW w:w="7038" w:type="dxa"/>
            <w:shd w:val="clear" w:color="auto" w:fill="76923C" w:themeFill="accent3" w:themeFillShade="BF"/>
          </w:tcPr>
          <w:p w14:paraId="35BB1C55" w14:textId="5A0EE62F" w:rsidR="00B47944" w:rsidRPr="00AB0075" w:rsidRDefault="00554870">
            <w:pPr>
              <w:rPr>
                <w:b/>
              </w:rPr>
            </w:pPr>
            <w:r>
              <w:rPr>
                <w:b/>
              </w:rPr>
              <w:t>Potential activities during 15</w:t>
            </w:r>
            <w:r w:rsidR="00B47944" w:rsidRPr="00AB0075">
              <w:rPr>
                <w:b/>
              </w:rPr>
              <w:t xml:space="preserve"> month grant period</w:t>
            </w:r>
          </w:p>
        </w:tc>
        <w:tc>
          <w:tcPr>
            <w:tcW w:w="2538" w:type="dxa"/>
            <w:shd w:val="clear" w:color="auto" w:fill="76923C" w:themeFill="accent3" w:themeFillShade="BF"/>
          </w:tcPr>
          <w:p w14:paraId="663ACA5C" w14:textId="22826AF2" w:rsidR="00B47944" w:rsidRPr="00AB0075" w:rsidRDefault="00B47944">
            <w:pPr>
              <w:rPr>
                <w:b/>
              </w:rPr>
            </w:pPr>
            <w:commentRangeStart w:id="0"/>
            <w:r w:rsidRPr="00AB0075">
              <w:rPr>
                <w:b/>
              </w:rPr>
              <w:t># of teachers and students impacted</w:t>
            </w:r>
            <w:commentRangeEnd w:id="0"/>
            <w:r w:rsidR="00D511C0">
              <w:rPr>
                <w:rStyle w:val="CommentReference"/>
              </w:rPr>
              <w:commentReference w:id="0"/>
            </w:r>
          </w:p>
        </w:tc>
      </w:tr>
      <w:tr w:rsidR="00B47944" w:rsidRPr="00D511C0" w14:paraId="51BDFE6D" w14:textId="77777777" w:rsidTr="00B47944">
        <w:tc>
          <w:tcPr>
            <w:tcW w:w="7038" w:type="dxa"/>
            <w:shd w:val="clear" w:color="auto" w:fill="D6E3BC" w:themeFill="accent3" w:themeFillTint="66"/>
          </w:tcPr>
          <w:p w14:paraId="4B0F7831" w14:textId="7A4CA96D" w:rsidR="00B47944" w:rsidRPr="00D511C0" w:rsidRDefault="00B47944" w:rsidP="00B47944">
            <w:pPr>
              <w:rPr>
                <w:b/>
                <w:sz w:val="22"/>
                <w:szCs w:val="22"/>
              </w:rPr>
            </w:pPr>
            <w:r w:rsidRPr="00D511C0">
              <w:rPr>
                <w:b/>
                <w:sz w:val="22"/>
                <w:szCs w:val="22"/>
              </w:rPr>
              <w:t>Overall STEM Hub – building engagement and resources</w:t>
            </w:r>
          </w:p>
        </w:tc>
        <w:tc>
          <w:tcPr>
            <w:tcW w:w="2538" w:type="dxa"/>
            <w:shd w:val="clear" w:color="auto" w:fill="D6E3BC" w:themeFill="accent3" w:themeFillTint="66"/>
          </w:tcPr>
          <w:p w14:paraId="2B82BDF4" w14:textId="77777777" w:rsidR="00B47944" w:rsidRPr="00D511C0" w:rsidRDefault="00B47944">
            <w:pPr>
              <w:rPr>
                <w:b/>
                <w:sz w:val="22"/>
                <w:szCs w:val="22"/>
              </w:rPr>
            </w:pPr>
          </w:p>
        </w:tc>
      </w:tr>
      <w:tr w:rsidR="00B47944" w:rsidRPr="00D511C0" w14:paraId="21B8AC07" w14:textId="77777777" w:rsidTr="00B47944">
        <w:tc>
          <w:tcPr>
            <w:tcW w:w="7038" w:type="dxa"/>
          </w:tcPr>
          <w:p w14:paraId="4201EB79" w14:textId="77777777" w:rsidR="00B47944" w:rsidRPr="00D511C0" w:rsidRDefault="00B47944" w:rsidP="00B47944">
            <w:pPr>
              <w:rPr>
                <w:sz w:val="22"/>
                <w:szCs w:val="22"/>
              </w:rPr>
            </w:pPr>
            <w:r w:rsidRPr="00D511C0">
              <w:rPr>
                <w:sz w:val="22"/>
                <w:szCs w:val="22"/>
              </w:rPr>
              <w:t>Hire STEM Hub Executive Director to build STEM Hub Backbone organization</w:t>
            </w:r>
          </w:p>
          <w:p w14:paraId="5EB34FDB" w14:textId="77777777" w:rsidR="00B47944" w:rsidRPr="00D511C0" w:rsidRDefault="00B47944" w:rsidP="00B47944">
            <w:pPr>
              <w:rPr>
                <w:sz w:val="22"/>
                <w:szCs w:val="22"/>
              </w:rPr>
            </w:pPr>
            <w:r w:rsidRPr="00D511C0">
              <w:rPr>
                <w:sz w:val="22"/>
                <w:szCs w:val="22"/>
              </w:rPr>
              <w:t>Complete updated strategic business plan</w:t>
            </w:r>
          </w:p>
          <w:p w14:paraId="200B68AA" w14:textId="77777777" w:rsidR="00B47944" w:rsidRPr="00D511C0" w:rsidRDefault="00B47944" w:rsidP="00B47944">
            <w:pPr>
              <w:rPr>
                <w:sz w:val="22"/>
                <w:szCs w:val="22"/>
              </w:rPr>
            </w:pPr>
            <w:r w:rsidRPr="00D511C0">
              <w:rPr>
                <w:sz w:val="22"/>
                <w:szCs w:val="22"/>
              </w:rPr>
              <w:t>Conduct ongoing communications with all partners</w:t>
            </w:r>
          </w:p>
          <w:p w14:paraId="70BB0F02" w14:textId="77777777" w:rsidR="00B47944" w:rsidRPr="00D511C0" w:rsidRDefault="00B47944" w:rsidP="00B47944">
            <w:pPr>
              <w:rPr>
                <w:sz w:val="22"/>
                <w:szCs w:val="22"/>
              </w:rPr>
            </w:pPr>
            <w:r w:rsidRPr="00D511C0">
              <w:rPr>
                <w:sz w:val="22"/>
                <w:szCs w:val="22"/>
              </w:rPr>
              <w:t>Write grant proposals and develop private resources</w:t>
            </w:r>
          </w:p>
          <w:p w14:paraId="533BA3FB" w14:textId="77777777" w:rsidR="00B47944" w:rsidRPr="00D511C0" w:rsidRDefault="00B47944" w:rsidP="00B47944">
            <w:pPr>
              <w:rPr>
                <w:sz w:val="22"/>
                <w:szCs w:val="22"/>
              </w:rPr>
            </w:pPr>
            <w:r w:rsidRPr="00D511C0">
              <w:rPr>
                <w:sz w:val="22"/>
                <w:szCs w:val="22"/>
              </w:rPr>
              <w:t>Collect and evaluate data</w:t>
            </w:r>
          </w:p>
          <w:p w14:paraId="320EAF86" w14:textId="77777777" w:rsidR="00B47944" w:rsidRPr="00D511C0" w:rsidRDefault="00B47944" w:rsidP="00B47944">
            <w:pPr>
              <w:rPr>
                <w:sz w:val="22"/>
                <w:szCs w:val="22"/>
              </w:rPr>
            </w:pPr>
            <w:r w:rsidRPr="00D511C0">
              <w:rPr>
                <w:sz w:val="22"/>
                <w:szCs w:val="22"/>
              </w:rPr>
              <w:t>Develop evaluation plan</w:t>
            </w:r>
          </w:p>
          <w:p w14:paraId="78706B43" w14:textId="77777777" w:rsidR="00B47944" w:rsidRPr="00D511C0" w:rsidRDefault="00B47944" w:rsidP="00B47944">
            <w:pPr>
              <w:rPr>
                <w:sz w:val="22"/>
                <w:szCs w:val="22"/>
              </w:rPr>
            </w:pPr>
            <w:r w:rsidRPr="00D511C0">
              <w:rPr>
                <w:sz w:val="22"/>
                <w:szCs w:val="22"/>
              </w:rPr>
              <w:t>Utilize Multnomah County Equity Lens to provide training for all partners</w:t>
            </w:r>
          </w:p>
          <w:p w14:paraId="0BCFE367" w14:textId="77777777" w:rsidR="00B47944" w:rsidRPr="00D511C0" w:rsidRDefault="00B47944" w:rsidP="00B47944">
            <w:pPr>
              <w:rPr>
                <w:sz w:val="22"/>
                <w:szCs w:val="22"/>
              </w:rPr>
            </w:pPr>
            <w:r w:rsidRPr="00D511C0">
              <w:rPr>
                <w:sz w:val="22"/>
                <w:szCs w:val="22"/>
              </w:rPr>
              <w:t>Add more community partners focused on underserved populations</w:t>
            </w:r>
          </w:p>
          <w:p w14:paraId="00D66BB3" w14:textId="3EA87ED9" w:rsidR="00B47944" w:rsidRPr="00D511C0" w:rsidRDefault="00B47944">
            <w:pPr>
              <w:rPr>
                <w:sz w:val="22"/>
                <w:szCs w:val="22"/>
              </w:rPr>
            </w:pPr>
            <w:r w:rsidRPr="00D511C0">
              <w:rPr>
                <w:sz w:val="22"/>
                <w:szCs w:val="22"/>
              </w:rPr>
              <w:t>Add more active business partners</w:t>
            </w:r>
          </w:p>
        </w:tc>
        <w:tc>
          <w:tcPr>
            <w:tcW w:w="2538" w:type="dxa"/>
          </w:tcPr>
          <w:p w14:paraId="3CEE6C2C" w14:textId="0E1D1E3B" w:rsidR="00B47944" w:rsidRPr="00D511C0" w:rsidRDefault="00AB0075">
            <w:pPr>
              <w:rPr>
                <w:i/>
                <w:sz w:val="22"/>
                <w:szCs w:val="22"/>
              </w:rPr>
            </w:pPr>
            <w:r w:rsidRPr="00D511C0">
              <w:rPr>
                <w:i/>
                <w:sz w:val="22"/>
                <w:szCs w:val="22"/>
              </w:rPr>
              <w:t>Overall system building – no direct impact on students and teachers</w:t>
            </w:r>
          </w:p>
        </w:tc>
      </w:tr>
      <w:tr w:rsidR="00B47944" w:rsidRPr="00D511C0" w14:paraId="086C3D21" w14:textId="77777777" w:rsidTr="00B47944">
        <w:tc>
          <w:tcPr>
            <w:tcW w:w="7038" w:type="dxa"/>
            <w:shd w:val="clear" w:color="auto" w:fill="D6E3BC" w:themeFill="accent3" w:themeFillTint="66"/>
          </w:tcPr>
          <w:p w14:paraId="44AC57E4" w14:textId="6A0CC54A" w:rsidR="00B47944" w:rsidRPr="00D511C0" w:rsidRDefault="00B47944" w:rsidP="00AB0075">
            <w:pPr>
              <w:keepNext/>
              <w:rPr>
                <w:sz w:val="22"/>
                <w:szCs w:val="22"/>
              </w:rPr>
            </w:pPr>
            <w:r w:rsidRPr="00D511C0">
              <w:rPr>
                <w:b/>
                <w:sz w:val="22"/>
                <w:szCs w:val="22"/>
              </w:rPr>
              <w:lastRenderedPageBreak/>
              <w:t>Strategy 1:</w:t>
            </w:r>
            <w:r w:rsidRPr="00D511C0">
              <w:rPr>
                <w:sz w:val="22"/>
                <w:szCs w:val="22"/>
              </w:rPr>
              <w:t xml:space="preserve"> </w:t>
            </w:r>
            <w:r w:rsidRPr="00D511C0">
              <w:rPr>
                <w:rFonts w:cs="Calibri"/>
                <w:b/>
                <w:sz w:val="22"/>
                <w:szCs w:val="22"/>
              </w:rPr>
              <w:t>STEM Network of industry and community resources for schools</w:t>
            </w:r>
          </w:p>
        </w:tc>
        <w:tc>
          <w:tcPr>
            <w:tcW w:w="2538" w:type="dxa"/>
            <w:shd w:val="clear" w:color="auto" w:fill="D6E3BC" w:themeFill="accent3" w:themeFillTint="66"/>
          </w:tcPr>
          <w:p w14:paraId="22B4AD62" w14:textId="77777777" w:rsidR="00B47944" w:rsidRPr="00D511C0" w:rsidRDefault="00B47944" w:rsidP="00AB0075">
            <w:pPr>
              <w:keepNext/>
              <w:rPr>
                <w:sz w:val="22"/>
                <w:szCs w:val="22"/>
              </w:rPr>
            </w:pPr>
          </w:p>
        </w:tc>
      </w:tr>
      <w:tr w:rsidR="00B47944" w:rsidRPr="00D511C0" w14:paraId="31E26AD5" w14:textId="77777777" w:rsidTr="00D511C0">
        <w:trPr>
          <w:cantSplit/>
        </w:trPr>
        <w:tc>
          <w:tcPr>
            <w:tcW w:w="7038" w:type="dxa"/>
          </w:tcPr>
          <w:p w14:paraId="2C900F90" w14:textId="77777777" w:rsidR="00B47944" w:rsidRPr="00D511C0" w:rsidRDefault="00B47944" w:rsidP="00B47944">
            <w:pPr>
              <w:rPr>
                <w:rFonts w:cs="Calibri"/>
                <w:sz w:val="22"/>
                <w:szCs w:val="22"/>
              </w:rPr>
            </w:pPr>
            <w:r w:rsidRPr="00D511C0">
              <w:rPr>
                <w:rFonts w:cs="Calibri"/>
                <w:sz w:val="22"/>
                <w:szCs w:val="22"/>
              </w:rPr>
              <w:t xml:space="preserve">By June 2015: Design and test electronic platform to match volunteers with teachers—pilot in SMS STEM Region; </w:t>
            </w:r>
            <w:r w:rsidRPr="00D511C0">
              <w:rPr>
                <w:rFonts w:cs="Calibri"/>
                <w:sz w:val="22"/>
                <w:szCs w:val="22"/>
              </w:rPr>
              <w:br/>
              <w:t xml:space="preserve">By June 2016: disseminate to PDX and East County STEM Partnerships; </w:t>
            </w:r>
          </w:p>
          <w:p w14:paraId="3B71DB21" w14:textId="2DB1D637" w:rsidR="00B47944" w:rsidRPr="00D511C0" w:rsidRDefault="00B47944" w:rsidP="00B47944">
            <w:pPr>
              <w:rPr>
                <w:sz w:val="22"/>
                <w:szCs w:val="22"/>
              </w:rPr>
            </w:pPr>
            <w:r w:rsidRPr="00D511C0">
              <w:rPr>
                <w:rFonts w:cs="Calibri"/>
                <w:sz w:val="22"/>
                <w:szCs w:val="22"/>
              </w:rPr>
              <w:t>By 2017:  Launch as a statewide tool</w:t>
            </w:r>
          </w:p>
        </w:tc>
        <w:tc>
          <w:tcPr>
            <w:tcW w:w="2538" w:type="dxa"/>
          </w:tcPr>
          <w:p w14:paraId="602B2BF6" w14:textId="0189E472" w:rsidR="00B47944" w:rsidRPr="00D511C0" w:rsidRDefault="00AB0075">
            <w:pPr>
              <w:rPr>
                <w:sz w:val="22"/>
                <w:szCs w:val="22"/>
              </w:rPr>
            </w:pPr>
            <w:r w:rsidRPr="00D511C0">
              <w:rPr>
                <w:sz w:val="22"/>
                <w:szCs w:val="22"/>
              </w:rPr>
              <w:t>How many teachers using?</w:t>
            </w:r>
          </w:p>
          <w:p w14:paraId="220D9134" w14:textId="77777777" w:rsidR="00AB0075" w:rsidRPr="00D511C0" w:rsidRDefault="00AB0075">
            <w:pPr>
              <w:rPr>
                <w:sz w:val="22"/>
                <w:szCs w:val="22"/>
              </w:rPr>
            </w:pPr>
          </w:p>
          <w:p w14:paraId="19F0470D" w14:textId="6B4AB15F" w:rsidR="00AB0075" w:rsidRPr="00D511C0" w:rsidRDefault="00AB0075" w:rsidP="00AB0075">
            <w:pPr>
              <w:rPr>
                <w:sz w:val="22"/>
                <w:szCs w:val="22"/>
              </w:rPr>
            </w:pPr>
            <w:r w:rsidRPr="00D511C0">
              <w:rPr>
                <w:sz w:val="22"/>
                <w:szCs w:val="22"/>
              </w:rPr>
              <w:t>50 students impacted per teacher?</w:t>
            </w:r>
          </w:p>
        </w:tc>
      </w:tr>
      <w:tr w:rsidR="00B47944" w:rsidRPr="00D511C0" w14:paraId="50BBA85C" w14:textId="77777777" w:rsidTr="00B47944">
        <w:tc>
          <w:tcPr>
            <w:tcW w:w="7038" w:type="dxa"/>
          </w:tcPr>
          <w:p w14:paraId="56292E31" w14:textId="7D883CAC" w:rsidR="00B47944" w:rsidRPr="00D511C0" w:rsidRDefault="00B47944">
            <w:pPr>
              <w:rPr>
                <w:rFonts w:cs="Calibri"/>
                <w:sz w:val="22"/>
                <w:szCs w:val="22"/>
              </w:rPr>
            </w:pPr>
            <w:r w:rsidRPr="00D511C0">
              <w:rPr>
                <w:rFonts w:cs="Calibri"/>
                <w:sz w:val="22"/>
                <w:szCs w:val="22"/>
              </w:rPr>
              <w:t>Build partnerships with TAO and other business organizations related to design and implementation of platform</w:t>
            </w:r>
          </w:p>
        </w:tc>
        <w:tc>
          <w:tcPr>
            <w:tcW w:w="2538" w:type="dxa"/>
          </w:tcPr>
          <w:p w14:paraId="04DDEC37" w14:textId="77777777" w:rsidR="00B47944" w:rsidRPr="00D511C0" w:rsidRDefault="00B47944">
            <w:pPr>
              <w:rPr>
                <w:sz w:val="22"/>
                <w:szCs w:val="22"/>
              </w:rPr>
            </w:pPr>
          </w:p>
        </w:tc>
      </w:tr>
      <w:tr w:rsidR="00B47944" w:rsidRPr="00D511C0" w14:paraId="1C84B91A" w14:textId="77777777" w:rsidTr="00B47944">
        <w:tc>
          <w:tcPr>
            <w:tcW w:w="7038" w:type="dxa"/>
          </w:tcPr>
          <w:p w14:paraId="4A36BBF8" w14:textId="048F1E82" w:rsidR="00B47944" w:rsidRPr="00D511C0" w:rsidRDefault="00B47944">
            <w:pPr>
              <w:rPr>
                <w:sz w:val="22"/>
                <w:szCs w:val="22"/>
              </w:rPr>
            </w:pPr>
            <w:r w:rsidRPr="00D511C0">
              <w:rPr>
                <w:rFonts w:cs="Calibri"/>
                <w:sz w:val="22"/>
                <w:szCs w:val="22"/>
              </w:rPr>
              <w:t>Collaborate with STEM Learning Community on use and efficacy of tool: -- 50 teachers using tool by June 2015?</w:t>
            </w:r>
          </w:p>
        </w:tc>
        <w:tc>
          <w:tcPr>
            <w:tcW w:w="2538" w:type="dxa"/>
          </w:tcPr>
          <w:p w14:paraId="30D5FE2C" w14:textId="2B837483" w:rsidR="00B47944" w:rsidRPr="00D511C0" w:rsidRDefault="00B47944">
            <w:pPr>
              <w:rPr>
                <w:sz w:val="22"/>
                <w:szCs w:val="22"/>
              </w:rPr>
            </w:pPr>
            <w:r w:rsidRPr="00D511C0">
              <w:rPr>
                <w:sz w:val="22"/>
                <w:szCs w:val="22"/>
              </w:rPr>
              <w:t>50 teachers</w:t>
            </w:r>
            <w:r w:rsidR="00AB0075" w:rsidRPr="00D511C0">
              <w:rPr>
                <w:sz w:val="22"/>
                <w:szCs w:val="22"/>
              </w:rPr>
              <w:t>?</w:t>
            </w:r>
          </w:p>
        </w:tc>
      </w:tr>
      <w:tr w:rsidR="00B47944" w:rsidRPr="00D511C0" w14:paraId="335BFE2B" w14:textId="77777777" w:rsidTr="00B47944">
        <w:tc>
          <w:tcPr>
            <w:tcW w:w="7038" w:type="dxa"/>
          </w:tcPr>
          <w:p w14:paraId="2ABDC921" w14:textId="2B7C419B" w:rsidR="00B47944" w:rsidRPr="00D511C0" w:rsidRDefault="00B47944">
            <w:pPr>
              <w:rPr>
                <w:sz w:val="22"/>
                <w:szCs w:val="22"/>
              </w:rPr>
            </w:pPr>
            <w:r w:rsidRPr="00D511C0">
              <w:rPr>
                <w:rFonts w:cs="Calibri"/>
                <w:sz w:val="22"/>
                <w:szCs w:val="22"/>
              </w:rPr>
              <w:t>Collaborate with BEC, Saturday Academy, Oregon ASK, and PDX STEM to prepare volunteers for classroom experiences</w:t>
            </w:r>
          </w:p>
        </w:tc>
        <w:tc>
          <w:tcPr>
            <w:tcW w:w="2538" w:type="dxa"/>
          </w:tcPr>
          <w:p w14:paraId="4DD9B0AF" w14:textId="77777777" w:rsidR="00B47944" w:rsidRPr="00D511C0" w:rsidRDefault="00B47944">
            <w:pPr>
              <w:rPr>
                <w:sz w:val="22"/>
                <w:szCs w:val="22"/>
              </w:rPr>
            </w:pPr>
          </w:p>
        </w:tc>
      </w:tr>
      <w:tr w:rsidR="00B47944" w:rsidRPr="00D511C0" w14:paraId="1B242E8E" w14:textId="77777777" w:rsidTr="00B47944">
        <w:tc>
          <w:tcPr>
            <w:tcW w:w="7038" w:type="dxa"/>
            <w:shd w:val="clear" w:color="auto" w:fill="D6E3BC" w:themeFill="accent3" w:themeFillTint="66"/>
          </w:tcPr>
          <w:p w14:paraId="6B32943B" w14:textId="06F98A1E" w:rsidR="00B47944" w:rsidRPr="00D511C0" w:rsidRDefault="00B47944">
            <w:pPr>
              <w:rPr>
                <w:sz w:val="22"/>
                <w:szCs w:val="22"/>
              </w:rPr>
            </w:pPr>
            <w:r w:rsidRPr="00D511C0">
              <w:rPr>
                <w:rFonts w:cs="Calibri"/>
                <w:b/>
                <w:sz w:val="22"/>
                <w:szCs w:val="22"/>
              </w:rPr>
              <w:t>Strategy 2:  Teacher Professional Development</w:t>
            </w:r>
          </w:p>
        </w:tc>
        <w:tc>
          <w:tcPr>
            <w:tcW w:w="2538" w:type="dxa"/>
            <w:shd w:val="clear" w:color="auto" w:fill="D6E3BC" w:themeFill="accent3" w:themeFillTint="66"/>
          </w:tcPr>
          <w:p w14:paraId="0E6D88C2" w14:textId="77777777" w:rsidR="00B47944" w:rsidRPr="00D511C0" w:rsidRDefault="00B47944">
            <w:pPr>
              <w:rPr>
                <w:sz w:val="22"/>
                <w:szCs w:val="22"/>
              </w:rPr>
            </w:pPr>
          </w:p>
        </w:tc>
      </w:tr>
      <w:tr w:rsidR="00B47944" w:rsidRPr="00D511C0" w14:paraId="0C4742FE" w14:textId="77777777" w:rsidTr="00B47944">
        <w:tc>
          <w:tcPr>
            <w:tcW w:w="7038" w:type="dxa"/>
          </w:tcPr>
          <w:p w14:paraId="561ABA47" w14:textId="2FCEF4BA" w:rsidR="00B47944" w:rsidRPr="00D511C0" w:rsidRDefault="00B47944" w:rsidP="00B47944">
            <w:pPr>
              <w:rPr>
                <w:rFonts w:cs="Calibri"/>
                <w:sz w:val="22"/>
                <w:szCs w:val="22"/>
              </w:rPr>
            </w:pPr>
            <w:r w:rsidRPr="00D511C0">
              <w:rPr>
                <w:rFonts w:cs="Calibri"/>
                <w:sz w:val="22"/>
                <w:szCs w:val="22"/>
              </w:rPr>
              <w:t xml:space="preserve">Develop ongoing STEM Learning Community plan and outcomes </w:t>
            </w:r>
          </w:p>
        </w:tc>
        <w:tc>
          <w:tcPr>
            <w:tcW w:w="2538" w:type="dxa"/>
          </w:tcPr>
          <w:p w14:paraId="5A691493" w14:textId="77777777" w:rsidR="00B47944" w:rsidRPr="00D511C0" w:rsidRDefault="00B47944">
            <w:pPr>
              <w:rPr>
                <w:sz w:val="22"/>
                <w:szCs w:val="22"/>
              </w:rPr>
            </w:pPr>
          </w:p>
        </w:tc>
      </w:tr>
      <w:tr w:rsidR="00B47944" w:rsidRPr="00D511C0" w14:paraId="601BC64F" w14:textId="77777777" w:rsidTr="00B47944">
        <w:tc>
          <w:tcPr>
            <w:tcW w:w="7038" w:type="dxa"/>
          </w:tcPr>
          <w:p w14:paraId="24E1B9DB" w14:textId="0A6DDD67" w:rsidR="00B47944" w:rsidRPr="00D511C0" w:rsidRDefault="00B47944">
            <w:pPr>
              <w:rPr>
                <w:sz w:val="22"/>
                <w:szCs w:val="22"/>
              </w:rPr>
            </w:pPr>
            <w:r w:rsidRPr="00D511C0">
              <w:rPr>
                <w:sz w:val="22"/>
                <w:szCs w:val="22"/>
              </w:rPr>
              <w:t>Conduct 5 STEM LC classes/ coaching sessions of 30 participants each</w:t>
            </w:r>
          </w:p>
        </w:tc>
        <w:tc>
          <w:tcPr>
            <w:tcW w:w="2538" w:type="dxa"/>
          </w:tcPr>
          <w:p w14:paraId="02A3C727" w14:textId="6D1987C0" w:rsidR="00B47944" w:rsidRPr="00D511C0" w:rsidRDefault="00AB0075">
            <w:pPr>
              <w:rPr>
                <w:sz w:val="22"/>
                <w:szCs w:val="22"/>
              </w:rPr>
            </w:pPr>
            <w:r w:rsidRPr="00D511C0">
              <w:rPr>
                <w:sz w:val="22"/>
                <w:szCs w:val="22"/>
              </w:rPr>
              <w:t>150 teachers?</w:t>
            </w:r>
          </w:p>
        </w:tc>
      </w:tr>
      <w:tr w:rsidR="00B47944" w:rsidRPr="00D511C0" w14:paraId="50DE80EA" w14:textId="77777777" w:rsidTr="00B47944">
        <w:tc>
          <w:tcPr>
            <w:tcW w:w="7038" w:type="dxa"/>
          </w:tcPr>
          <w:p w14:paraId="2493A5D0" w14:textId="7C5AFCFA" w:rsidR="00B47944" w:rsidRPr="00D511C0" w:rsidRDefault="00B47944" w:rsidP="00B47944">
            <w:pPr>
              <w:pStyle w:val="NoSpacing"/>
              <w:rPr>
                <w:rFonts w:ascii="Times" w:hAnsi="Times"/>
              </w:rPr>
            </w:pPr>
            <w:r w:rsidRPr="00D511C0">
              <w:rPr>
                <w:rFonts w:ascii="Times" w:hAnsi="Times"/>
              </w:rPr>
              <w:t>Conduct 35 Teacher Visitations to STEM business, community partner, post-secondary programs</w:t>
            </w:r>
          </w:p>
        </w:tc>
        <w:tc>
          <w:tcPr>
            <w:tcW w:w="2538" w:type="dxa"/>
          </w:tcPr>
          <w:p w14:paraId="4F4CD043" w14:textId="2427B4AF" w:rsidR="00B47944" w:rsidRPr="00D511C0" w:rsidRDefault="00AB0075" w:rsidP="00AB0075">
            <w:pPr>
              <w:rPr>
                <w:sz w:val="22"/>
                <w:szCs w:val="22"/>
              </w:rPr>
            </w:pPr>
            <w:r w:rsidRPr="00D511C0">
              <w:rPr>
                <w:sz w:val="22"/>
                <w:szCs w:val="22"/>
              </w:rPr>
              <w:t>35 visitations x how many teachers?</w:t>
            </w:r>
          </w:p>
        </w:tc>
      </w:tr>
      <w:tr w:rsidR="00B47944" w:rsidRPr="00D511C0" w14:paraId="4FE0B2F8" w14:textId="77777777" w:rsidTr="00B47944">
        <w:tc>
          <w:tcPr>
            <w:tcW w:w="7038" w:type="dxa"/>
          </w:tcPr>
          <w:p w14:paraId="03048467" w14:textId="49A7F383" w:rsidR="00B47944" w:rsidRPr="00D511C0" w:rsidRDefault="00B47944" w:rsidP="00B47944">
            <w:pPr>
              <w:pStyle w:val="NoSpacing"/>
              <w:rPr>
                <w:rFonts w:ascii="Times" w:hAnsi="Times"/>
              </w:rPr>
            </w:pPr>
            <w:r w:rsidRPr="00D511C0">
              <w:rPr>
                <w:rFonts w:ascii="Times" w:hAnsi="Times"/>
              </w:rPr>
              <w:t>Conduct 5 Learning Community Session with up to 70 participants (meetings/assignments/communications)</w:t>
            </w:r>
            <w:r w:rsidRPr="00D511C0">
              <w:rPr>
                <w:rFonts w:ascii="Times" w:hAnsi="Times"/>
              </w:rPr>
              <w:tab/>
            </w:r>
            <w:r w:rsidRPr="00D511C0">
              <w:rPr>
                <w:rFonts w:ascii="Times" w:hAnsi="Times"/>
              </w:rPr>
              <w:tab/>
            </w:r>
            <w:r w:rsidRPr="00D511C0">
              <w:rPr>
                <w:rFonts w:ascii="Times" w:hAnsi="Times"/>
              </w:rPr>
              <w:tab/>
            </w:r>
          </w:p>
        </w:tc>
        <w:tc>
          <w:tcPr>
            <w:tcW w:w="2538" w:type="dxa"/>
          </w:tcPr>
          <w:p w14:paraId="5F580C67" w14:textId="224B5FE3" w:rsidR="00B47944" w:rsidRPr="00D511C0" w:rsidRDefault="00AB0075">
            <w:pPr>
              <w:rPr>
                <w:sz w:val="22"/>
                <w:szCs w:val="22"/>
              </w:rPr>
            </w:pPr>
            <w:r w:rsidRPr="00D511C0">
              <w:rPr>
                <w:sz w:val="22"/>
                <w:szCs w:val="22"/>
              </w:rPr>
              <w:t>350 teachers? 50 students per teacher?</w:t>
            </w:r>
          </w:p>
        </w:tc>
      </w:tr>
      <w:tr w:rsidR="00B47944" w:rsidRPr="00D511C0" w14:paraId="4E105781" w14:textId="77777777" w:rsidTr="00B47944">
        <w:tc>
          <w:tcPr>
            <w:tcW w:w="7038" w:type="dxa"/>
          </w:tcPr>
          <w:p w14:paraId="7A3EC5FB" w14:textId="4B35C99F" w:rsidR="00B47944" w:rsidRPr="00D511C0" w:rsidRDefault="00B47944" w:rsidP="00B47944">
            <w:pPr>
              <w:pStyle w:val="NoSpacing"/>
              <w:rPr>
                <w:rFonts w:ascii="Times" w:hAnsi="Times"/>
              </w:rPr>
            </w:pPr>
            <w:r w:rsidRPr="00D511C0">
              <w:rPr>
                <w:rFonts w:ascii="Times" w:hAnsi="Times"/>
              </w:rPr>
              <w:t>Conduct Teacher STEM Tour for 35 teachers</w:t>
            </w:r>
          </w:p>
        </w:tc>
        <w:tc>
          <w:tcPr>
            <w:tcW w:w="2538" w:type="dxa"/>
          </w:tcPr>
          <w:p w14:paraId="553E31FB" w14:textId="40AA57CA" w:rsidR="00B47944" w:rsidRPr="00D511C0" w:rsidRDefault="00AB0075">
            <w:pPr>
              <w:rPr>
                <w:sz w:val="22"/>
                <w:szCs w:val="22"/>
              </w:rPr>
            </w:pPr>
            <w:r w:rsidRPr="00D511C0">
              <w:rPr>
                <w:sz w:val="22"/>
                <w:szCs w:val="22"/>
              </w:rPr>
              <w:t>35 teachers, 50 students per teacher?</w:t>
            </w:r>
          </w:p>
        </w:tc>
      </w:tr>
      <w:tr w:rsidR="00B47944" w:rsidRPr="00D511C0" w14:paraId="4416B470" w14:textId="77777777" w:rsidTr="00B47944">
        <w:tc>
          <w:tcPr>
            <w:tcW w:w="7038" w:type="dxa"/>
          </w:tcPr>
          <w:p w14:paraId="63F9CA3A" w14:textId="6984BB37" w:rsidR="00B47944" w:rsidRPr="00D511C0" w:rsidRDefault="00B47944" w:rsidP="00B47944">
            <w:pPr>
              <w:pStyle w:val="NoSpacing"/>
              <w:rPr>
                <w:rFonts w:ascii="Times" w:hAnsi="Times"/>
              </w:rPr>
            </w:pPr>
            <w:r w:rsidRPr="00D511C0">
              <w:rPr>
                <w:rFonts w:ascii="Times" w:hAnsi="Times"/>
              </w:rPr>
              <w:t>Conduct STEM leadership training by  June 2015, leading to STEM plans for each district</w:t>
            </w:r>
          </w:p>
        </w:tc>
        <w:tc>
          <w:tcPr>
            <w:tcW w:w="2538" w:type="dxa"/>
          </w:tcPr>
          <w:p w14:paraId="00CFEF29" w14:textId="61F6AF6E" w:rsidR="00B47944" w:rsidRPr="00D511C0" w:rsidRDefault="00AB0075">
            <w:pPr>
              <w:rPr>
                <w:sz w:val="22"/>
                <w:szCs w:val="22"/>
              </w:rPr>
            </w:pPr>
            <w:r w:rsidRPr="00D511C0">
              <w:rPr>
                <w:sz w:val="22"/>
                <w:szCs w:val="22"/>
              </w:rPr>
              <w:t>Number of teachers impacted per district?</w:t>
            </w:r>
          </w:p>
        </w:tc>
      </w:tr>
      <w:tr w:rsidR="00B47944" w:rsidRPr="00D511C0" w14:paraId="24978135" w14:textId="77777777" w:rsidTr="00B47944">
        <w:tc>
          <w:tcPr>
            <w:tcW w:w="7038" w:type="dxa"/>
          </w:tcPr>
          <w:p w14:paraId="3614FD8A" w14:textId="5A3C6A5D" w:rsidR="00B47944" w:rsidRPr="00D511C0" w:rsidRDefault="00B47944">
            <w:pPr>
              <w:rPr>
                <w:rFonts w:cs="Calibri"/>
                <w:sz w:val="22"/>
                <w:szCs w:val="22"/>
              </w:rPr>
            </w:pPr>
            <w:r w:rsidRPr="00D511C0">
              <w:rPr>
                <w:rFonts w:cs="Calibri"/>
                <w:sz w:val="22"/>
                <w:szCs w:val="22"/>
              </w:rPr>
              <w:t>Incorporate STEM Network into learning community process</w:t>
            </w:r>
          </w:p>
        </w:tc>
        <w:tc>
          <w:tcPr>
            <w:tcW w:w="2538" w:type="dxa"/>
          </w:tcPr>
          <w:p w14:paraId="5E4F55B2" w14:textId="77777777" w:rsidR="00B47944" w:rsidRPr="00D511C0" w:rsidRDefault="00B47944">
            <w:pPr>
              <w:rPr>
                <w:sz w:val="22"/>
                <w:szCs w:val="22"/>
              </w:rPr>
            </w:pPr>
          </w:p>
        </w:tc>
      </w:tr>
      <w:tr w:rsidR="00B47944" w:rsidRPr="00D511C0" w14:paraId="1C917EAC" w14:textId="77777777" w:rsidTr="00B47944">
        <w:tc>
          <w:tcPr>
            <w:tcW w:w="7038" w:type="dxa"/>
          </w:tcPr>
          <w:p w14:paraId="6344852D" w14:textId="75D202E1" w:rsidR="00B47944" w:rsidRPr="00D511C0" w:rsidRDefault="00B47944">
            <w:pPr>
              <w:rPr>
                <w:sz w:val="22"/>
                <w:szCs w:val="22"/>
              </w:rPr>
            </w:pPr>
            <w:r w:rsidRPr="00D511C0">
              <w:rPr>
                <w:rFonts w:cs="Calibri"/>
                <w:sz w:val="22"/>
                <w:szCs w:val="22"/>
              </w:rPr>
              <w:t>Utilize STEM Network Director to build support and use of the tool</w:t>
            </w:r>
          </w:p>
        </w:tc>
        <w:tc>
          <w:tcPr>
            <w:tcW w:w="2538" w:type="dxa"/>
          </w:tcPr>
          <w:p w14:paraId="56B5EEA8" w14:textId="77777777" w:rsidR="00B47944" w:rsidRPr="00D511C0" w:rsidRDefault="00B47944">
            <w:pPr>
              <w:rPr>
                <w:sz w:val="22"/>
                <w:szCs w:val="22"/>
              </w:rPr>
            </w:pPr>
          </w:p>
        </w:tc>
      </w:tr>
      <w:tr w:rsidR="00B47944" w:rsidRPr="00D511C0" w14:paraId="3D8768D3" w14:textId="77777777" w:rsidTr="00AB0075">
        <w:tc>
          <w:tcPr>
            <w:tcW w:w="9576" w:type="dxa"/>
            <w:gridSpan w:val="2"/>
            <w:shd w:val="clear" w:color="auto" w:fill="D6E3BC" w:themeFill="accent3" w:themeFillTint="66"/>
          </w:tcPr>
          <w:p w14:paraId="093B2858" w14:textId="2E11F9DC" w:rsidR="00B47944" w:rsidRPr="00D511C0" w:rsidRDefault="00B47944">
            <w:pPr>
              <w:rPr>
                <w:sz w:val="22"/>
                <w:szCs w:val="22"/>
              </w:rPr>
            </w:pPr>
            <w:r w:rsidRPr="00D511C0">
              <w:rPr>
                <w:rFonts w:cs="Calibri"/>
                <w:b/>
                <w:sz w:val="22"/>
                <w:szCs w:val="22"/>
              </w:rPr>
              <w:t>Strategy 3:  Accelerated STEM college credit through expanded school, college, university collaborations</w:t>
            </w:r>
          </w:p>
        </w:tc>
      </w:tr>
      <w:tr w:rsidR="00B47944" w:rsidRPr="00D511C0" w14:paraId="494A6DBB" w14:textId="77777777" w:rsidTr="00B47944">
        <w:tc>
          <w:tcPr>
            <w:tcW w:w="7038" w:type="dxa"/>
          </w:tcPr>
          <w:p w14:paraId="0ECD2A9E" w14:textId="7092BEBA" w:rsidR="00B47944" w:rsidRPr="00D511C0" w:rsidRDefault="00AB0075" w:rsidP="00D511C0">
            <w:pPr>
              <w:rPr>
                <w:rFonts w:cs="Calibri"/>
                <w:sz w:val="22"/>
                <w:szCs w:val="22"/>
              </w:rPr>
            </w:pPr>
            <w:r w:rsidRPr="00D511C0">
              <w:rPr>
                <w:rFonts w:cs="Calibri"/>
                <w:sz w:val="22"/>
                <w:szCs w:val="22"/>
              </w:rPr>
              <w:t>Add 30 dual credit options/courses in all 15 school districts</w:t>
            </w:r>
          </w:p>
        </w:tc>
        <w:tc>
          <w:tcPr>
            <w:tcW w:w="2538" w:type="dxa"/>
          </w:tcPr>
          <w:p w14:paraId="6FE89935" w14:textId="5BFF4DA5" w:rsidR="00B47944" w:rsidRPr="00D511C0" w:rsidRDefault="00D511C0">
            <w:pPr>
              <w:rPr>
                <w:sz w:val="22"/>
                <w:szCs w:val="22"/>
              </w:rPr>
            </w:pPr>
            <w:r w:rsidRPr="00D511C0">
              <w:rPr>
                <w:sz w:val="22"/>
                <w:szCs w:val="22"/>
              </w:rPr>
              <w:t># of students?</w:t>
            </w:r>
          </w:p>
        </w:tc>
      </w:tr>
      <w:tr w:rsidR="00B47944" w:rsidRPr="00D511C0" w14:paraId="7A034ADC" w14:textId="77777777" w:rsidTr="00B47944">
        <w:tc>
          <w:tcPr>
            <w:tcW w:w="7038" w:type="dxa"/>
          </w:tcPr>
          <w:p w14:paraId="476072EE" w14:textId="2A070E71" w:rsidR="00B47944" w:rsidRPr="00D511C0" w:rsidRDefault="00AB0075" w:rsidP="00D511C0">
            <w:pPr>
              <w:rPr>
                <w:rFonts w:cs="Calibri"/>
                <w:sz w:val="22"/>
                <w:szCs w:val="22"/>
              </w:rPr>
            </w:pPr>
            <w:r w:rsidRPr="00D511C0">
              <w:rPr>
                <w:rFonts w:cs="Calibri"/>
                <w:sz w:val="22"/>
                <w:szCs w:val="22"/>
              </w:rPr>
              <w:t>By June 2015:  increase dual credits by 30%?</w:t>
            </w:r>
          </w:p>
        </w:tc>
        <w:tc>
          <w:tcPr>
            <w:tcW w:w="2538" w:type="dxa"/>
          </w:tcPr>
          <w:p w14:paraId="5A25DFB0" w14:textId="36993EB3" w:rsidR="00B47944" w:rsidRPr="00D511C0" w:rsidRDefault="00D511C0">
            <w:pPr>
              <w:rPr>
                <w:sz w:val="22"/>
                <w:szCs w:val="22"/>
              </w:rPr>
            </w:pPr>
            <w:r w:rsidRPr="00D511C0">
              <w:rPr>
                <w:sz w:val="22"/>
                <w:szCs w:val="22"/>
              </w:rPr>
              <w:t># of students?</w:t>
            </w:r>
          </w:p>
        </w:tc>
      </w:tr>
      <w:tr w:rsidR="00B47944" w:rsidRPr="00D511C0" w14:paraId="17CE896D" w14:textId="77777777" w:rsidTr="00B47944">
        <w:tc>
          <w:tcPr>
            <w:tcW w:w="7038" w:type="dxa"/>
          </w:tcPr>
          <w:p w14:paraId="6B5BD7A6" w14:textId="0FB36242" w:rsidR="00B47944" w:rsidRPr="00D511C0" w:rsidRDefault="00AB0075" w:rsidP="00D511C0">
            <w:pPr>
              <w:rPr>
                <w:sz w:val="22"/>
                <w:szCs w:val="22"/>
              </w:rPr>
            </w:pPr>
            <w:r w:rsidRPr="00D511C0">
              <w:rPr>
                <w:sz w:val="22"/>
                <w:szCs w:val="22"/>
              </w:rPr>
              <w:t>Increase in number of HS students earning college credits by 10%</w:t>
            </w:r>
          </w:p>
        </w:tc>
        <w:tc>
          <w:tcPr>
            <w:tcW w:w="2538" w:type="dxa"/>
          </w:tcPr>
          <w:p w14:paraId="3D6CF3B7" w14:textId="30072588" w:rsidR="00B47944" w:rsidRPr="00D511C0" w:rsidRDefault="00D511C0" w:rsidP="00D511C0">
            <w:pPr>
              <w:rPr>
                <w:sz w:val="22"/>
                <w:szCs w:val="22"/>
              </w:rPr>
            </w:pPr>
            <w:r w:rsidRPr="00D511C0">
              <w:rPr>
                <w:sz w:val="22"/>
                <w:szCs w:val="22"/>
              </w:rPr>
              <w:t># of students?</w:t>
            </w:r>
          </w:p>
        </w:tc>
      </w:tr>
      <w:tr w:rsidR="00B47944" w:rsidRPr="00D511C0" w14:paraId="52B3C3A8" w14:textId="77777777" w:rsidTr="00B47944">
        <w:tc>
          <w:tcPr>
            <w:tcW w:w="7038" w:type="dxa"/>
          </w:tcPr>
          <w:p w14:paraId="697ADB2F" w14:textId="06A715F9" w:rsidR="00B47944" w:rsidRPr="00D511C0" w:rsidRDefault="00AB0075" w:rsidP="00D511C0">
            <w:pPr>
              <w:rPr>
                <w:sz w:val="22"/>
                <w:szCs w:val="22"/>
              </w:rPr>
            </w:pPr>
            <w:r w:rsidRPr="00D511C0">
              <w:rPr>
                <w:sz w:val="22"/>
                <w:szCs w:val="22"/>
              </w:rPr>
              <w:t>Increase in number of teachers qualified to teach dual credit by 10%</w:t>
            </w:r>
          </w:p>
        </w:tc>
        <w:tc>
          <w:tcPr>
            <w:tcW w:w="2538" w:type="dxa"/>
          </w:tcPr>
          <w:p w14:paraId="293789F2" w14:textId="1D379758" w:rsidR="00B47944" w:rsidRPr="00D511C0" w:rsidRDefault="00D511C0" w:rsidP="00D511C0">
            <w:pPr>
              <w:rPr>
                <w:sz w:val="22"/>
                <w:szCs w:val="22"/>
              </w:rPr>
            </w:pPr>
            <w:r w:rsidRPr="00D511C0">
              <w:rPr>
                <w:sz w:val="22"/>
                <w:szCs w:val="22"/>
              </w:rPr>
              <w:t># of students?</w:t>
            </w:r>
          </w:p>
        </w:tc>
      </w:tr>
      <w:tr w:rsidR="00B47944" w:rsidRPr="00D511C0" w14:paraId="15346D39" w14:textId="77777777" w:rsidTr="00B47944">
        <w:tc>
          <w:tcPr>
            <w:tcW w:w="7038" w:type="dxa"/>
          </w:tcPr>
          <w:p w14:paraId="5565ED74" w14:textId="2BAE7B25" w:rsidR="00B47944" w:rsidRPr="00D511C0" w:rsidRDefault="00AB0075" w:rsidP="00D511C0">
            <w:pPr>
              <w:rPr>
                <w:rFonts w:cs="Calibri"/>
                <w:sz w:val="22"/>
                <w:szCs w:val="22"/>
              </w:rPr>
            </w:pPr>
            <w:r w:rsidRPr="00D511C0">
              <w:rPr>
                <w:sz w:val="22"/>
                <w:szCs w:val="22"/>
              </w:rPr>
              <w:t xml:space="preserve">Complete a “Core to College” system assessment for high school math classes. </w:t>
            </w:r>
          </w:p>
        </w:tc>
        <w:tc>
          <w:tcPr>
            <w:tcW w:w="2538" w:type="dxa"/>
          </w:tcPr>
          <w:p w14:paraId="42536AC9" w14:textId="77777777" w:rsidR="00B47944" w:rsidRPr="00D511C0" w:rsidRDefault="00B47944" w:rsidP="00D511C0">
            <w:pPr>
              <w:rPr>
                <w:sz w:val="22"/>
                <w:szCs w:val="22"/>
              </w:rPr>
            </w:pPr>
          </w:p>
        </w:tc>
      </w:tr>
      <w:tr w:rsidR="00D511C0" w:rsidRPr="00D511C0" w14:paraId="018FB656" w14:textId="77777777" w:rsidTr="00B47944">
        <w:tc>
          <w:tcPr>
            <w:tcW w:w="7038" w:type="dxa"/>
          </w:tcPr>
          <w:p w14:paraId="27E5B763" w14:textId="7E9B6CEB" w:rsidR="00D511C0" w:rsidRPr="00D511C0" w:rsidRDefault="00D511C0" w:rsidP="00D511C0">
            <w:pPr>
              <w:rPr>
                <w:rFonts w:cs="Calibri"/>
                <w:sz w:val="22"/>
                <w:szCs w:val="22"/>
              </w:rPr>
            </w:pPr>
            <w:r w:rsidRPr="00D511C0">
              <w:rPr>
                <w:sz w:val="22"/>
                <w:szCs w:val="22"/>
              </w:rPr>
              <w:t>Conduct 10 HS collaborative outreach sessions for students and families, led by post-secondary partners</w:t>
            </w:r>
          </w:p>
        </w:tc>
        <w:tc>
          <w:tcPr>
            <w:tcW w:w="2538" w:type="dxa"/>
          </w:tcPr>
          <w:p w14:paraId="32B9160D" w14:textId="78B5C2A3" w:rsidR="00D511C0" w:rsidRPr="00D511C0" w:rsidRDefault="00D511C0" w:rsidP="00D511C0">
            <w:pPr>
              <w:rPr>
                <w:sz w:val="22"/>
                <w:szCs w:val="22"/>
              </w:rPr>
            </w:pPr>
            <w:r w:rsidRPr="00D511C0">
              <w:rPr>
                <w:sz w:val="22"/>
                <w:szCs w:val="22"/>
              </w:rPr>
              <w:t># of students?</w:t>
            </w:r>
          </w:p>
        </w:tc>
      </w:tr>
      <w:tr w:rsidR="00D511C0" w:rsidRPr="00D511C0" w14:paraId="66092195" w14:textId="77777777" w:rsidTr="00B47944">
        <w:tc>
          <w:tcPr>
            <w:tcW w:w="7038" w:type="dxa"/>
          </w:tcPr>
          <w:p w14:paraId="6E70252A" w14:textId="172C141F" w:rsidR="00D511C0" w:rsidRPr="00D511C0" w:rsidRDefault="00D511C0" w:rsidP="00D511C0">
            <w:pPr>
              <w:rPr>
                <w:sz w:val="22"/>
                <w:szCs w:val="22"/>
              </w:rPr>
            </w:pPr>
            <w:r w:rsidRPr="00D511C0">
              <w:rPr>
                <w:sz w:val="22"/>
                <w:szCs w:val="22"/>
              </w:rPr>
              <w:t>Develop marketing materials about the value of accelerated credits</w:t>
            </w:r>
          </w:p>
        </w:tc>
        <w:tc>
          <w:tcPr>
            <w:tcW w:w="2538" w:type="dxa"/>
          </w:tcPr>
          <w:p w14:paraId="5F4E9DD0" w14:textId="77777777" w:rsidR="00D511C0" w:rsidRPr="00D511C0" w:rsidRDefault="00D511C0" w:rsidP="00D511C0">
            <w:pPr>
              <w:rPr>
                <w:sz w:val="22"/>
                <w:szCs w:val="22"/>
              </w:rPr>
            </w:pPr>
          </w:p>
        </w:tc>
      </w:tr>
      <w:tr w:rsidR="00D511C0" w:rsidRPr="00D511C0" w14:paraId="5196D668" w14:textId="77777777" w:rsidTr="00B47944">
        <w:tc>
          <w:tcPr>
            <w:tcW w:w="7038" w:type="dxa"/>
          </w:tcPr>
          <w:p w14:paraId="66D02F85" w14:textId="49488822" w:rsidR="00D511C0" w:rsidRPr="00D511C0" w:rsidRDefault="00D511C0" w:rsidP="00D511C0">
            <w:pPr>
              <w:rPr>
                <w:rFonts w:cs="Calibri"/>
                <w:sz w:val="22"/>
                <w:szCs w:val="22"/>
              </w:rPr>
            </w:pPr>
            <w:r w:rsidRPr="00D511C0">
              <w:rPr>
                <w:rFonts w:cs="Calibri"/>
                <w:sz w:val="22"/>
                <w:szCs w:val="22"/>
              </w:rPr>
              <w:t>Report on overcoming barriers to accelerated credit and core to college for dissemination to other STEM Hubs</w:t>
            </w:r>
          </w:p>
        </w:tc>
        <w:tc>
          <w:tcPr>
            <w:tcW w:w="2538" w:type="dxa"/>
          </w:tcPr>
          <w:p w14:paraId="5BBBE040" w14:textId="77777777" w:rsidR="00D511C0" w:rsidRPr="00D511C0" w:rsidRDefault="00D511C0" w:rsidP="00D511C0">
            <w:pPr>
              <w:rPr>
                <w:sz w:val="22"/>
                <w:szCs w:val="22"/>
              </w:rPr>
            </w:pPr>
          </w:p>
        </w:tc>
      </w:tr>
      <w:tr w:rsidR="00D511C0" w:rsidRPr="00D511C0" w14:paraId="3A126789" w14:textId="77777777" w:rsidTr="00B47944">
        <w:tc>
          <w:tcPr>
            <w:tcW w:w="7038" w:type="dxa"/>
          </w:tcPr>
          <w:p w14:paraId="45246E75" w14:textId="38050756" w:rsidR="00D511C0" w:rsidRPr="00D511C0" w:rsidRDefault="00D511C0" w:rsidP="00D511C0">
            <w:pPr>
              <w:rPr>
                <w:rFonts w:cs="Calibri"/>
                <w:sz w:val="22"/>
                <w:szCs w:val="22"/>
              </w:rPr>
            </w:pPr>
            <w:r w:rsidRPr="00D511C0">
              <w:rPr>
                <w:rFonts w:cs="Calibri"/>
                <w:sz w:val="22"/>
                <w:szCs w:val="22"/>
              </w:rPr>
              <w:t>By June 2015: Add in MHCC to expand reach of practices to East County</w:t>
            </w:r>
          </w:p>
        </w:tc>
        <w:tc>
          <w:tcPr>
            <w:tcW w:w="2538" w:type="dxa"/>
          </w:tcPr>
          <w:p w14:paraId="21AE62D6" w14:textId="77777777" w:rsidR="00D511C0" w:rsidRPr="00D511C0" w:rsidRDefault="00D511C0" w:rsidP="00D511C0">
            <w:pPr>
              <w:rPr>
                <w:sz w:val="22"/>
                <w:szCs w:val="22"/>
              </w:rPr>
            </w:pPr>
          </w:p>
        </w:tc>
      </w:tr>
    </w:tbl>
    <w:p w14:paraId="6FFD8AB0" w14:textId="77777777" w:rsidR="00B47944" w:rsidRPr="00AB0075" w:rsidRDefault="00B47944"/>
    <w:p w14:paraId="6CBE7147" w14:textId="77777777" w:rsidR="00B47944" w:rsidRDefault="00B47944"/>
    <w:p w14:paraId="38F27C71" w14:textId="77777777" w:rsidR="00554870" w:rsidRDefault="00554870"/>
    <w:p w14:paraId="499CD1D1" w14:textId="77777777" w:rsidR="00554870" w:rsidRDefault="00554870"/>
    <w:p w14:paraId="0BF91260" w14:textId="77777777" w:rsidR="00554870" w:rsidRDefault="00554870"/>
    <w:p w14:paraId="31C35AB6" w14:textId="77777777" w:rsidR="00554870" w:rsidRDefault="00554870"/>
    <w:p w14:paraId="3C611DF4" w14:textId="77777777" w:rsidR="00554870" w:rsidRDefault="00554870">
      <w:pPr>
        <w:rPr>
          <w:color w:val="FF0000"/>
        </w:rPr>
      </w:pPr>
    </w:p>
    <w:p w14:paraId="55222ACF" w14:textId="6D42ABBD" w:rsidR="00615C5E" w:rsidRPr="00615C5E" w:rsidRDefault="00615C5E" w:rsidP="00BC0A55">
      <w:pPr>
        <w:rPr>
          <w:b/>
          <w:sz w:val="28"/>
          <w:szCs w:val="28"/>
        </w:rPr>
      </w:pPr>
      <w:r w:rsidRPr="00615C5E">
        <w:rPr>
          <w:b/>
          <w:sz w:val="28"/>
          <w:szCs w:val="28"/>
        </w:rPr>
        <w:lastRenderedPageBreak/>
        <w:t xml:space="preserve">III. Questions for </w:t>
      </w:r>
      <w:r w:rsidR="00554870">
        <w:rPr>
          <w:b/>
          <w:sz w:val="28"/>
          <w:szCs w:val="28"/>
        </w:rPr>
        <w:t xml:space="preserve">All </w:t>
      </w:r>
      <w:r w:rsidRPr="00615C5E">
        <w:rPr>
          <w:b/>
          <w:sz w:val="28"/>
          <w:szCs w:val="28"/>
        </w:rPr>
        <w:t>Partners</w:t>
      </w:r>
      <w:r w:rsidR="00554870">
        <w:rPr>
          <w:b/>
          <w:sz w:val="28"/>
          <w:szCs w:val="28"/>
        </w:rPr>
        <w:t xml:space="preserve"> </w:t>
      </w:r>
    </w:p>
    <w:p w14:paraId="6596BB2A" w14:textId="77777777" w:rsidR="00615C5E" w:rsidRDefault="00615C5E" w:rsidP="00BC0A55"/>
    <w:p w14:paraId="6297178B" w14:textId="1F25916B" w:rsidR="00615C5E" w:rsidRDefault="00BC0A55" w:rsidP="00BC0A55">
      <w:r>
        <w:t xml:space="preserve">1. </w:t>
      </w:r>
      <w:r w:rsidR="00615C5E">
        <w:t>If you have not already submitted your baseline data, please do so ASAP.</w:t>
      </w:r>
    </w:p>
    <w:p w14:paraId="78FBFB28" w14:textId="77777777" w:rsidR="00BC0A55" w:rsidRDefault="00BC0A55" w:rsidP="00BC0A55"/>
    <w:p w14:paraId="1841CFBD" w14:textId="1A59F1D9" w:rsidR="00BC0A55" w:rsidRDefault="00615C5E" w:rsidP="00BC0A55">
      <w:r>
        <w:t>2</w:t>
      </w:r>
      <w:r w:rsidR="00BC0A55" w:rsidRPr="00FE04C7">
        <w:t xml:space="preserve">. </w:t>
      </w:r>
      <w:r w:rsidR="00BC0A55">
        <w:t xml:space="preserve">What has the SMS STEM Partnership accomplished in your district/college in the last year and a half that impacts teachers and/or students? </w:t>
      </w:r>
    </w:p>
    <w:p w14:paraId="2FCB4E44" w14:textId="77777777" w:rsidR="00BC0A55" w:rsidRDefault="00BC0A55" w:rsidP="00BC0A55">
      <w:pPr>
        <w:pStyle w:val="ListParagraph"/>
        <w:numPr>
          <w:ilvl w:val="0"/>
          <w:numId w:val="1"/>
        </w:numPr>
      </w:pPr>
      <w:r>
        <w:t>Have you put STEM plans in place?</w:t>
      </w:r>
    </w:p>
    <w:p w14:paraId="258660EB" w14:textId="77777777" w:rsidR="00BC0A55" w:rsidRDefault="00BC0A55" w:rsidP="00BC0A55">
      <w:pPr>
        <w:pStyle w:val="ListParagraph"/>
        <w:numPr>
          <w:ilvl w:val="0"/>
          <w:numId w:val="1"/>
        </w:numPr>
      </w:pPr>
      <w:r>
        <w:t>Any curriculum adopted or shared practices?</w:t>
      </w:r>
    </w:p>
    <w:p w14:paraId="2F40E586" w14:textId="77777777" w:rsidR="00BC0A55" w:rsidRDefault="00BC0A55" w:rsidP="00BC0A55"/>
    <w:p w14:paraId="67B20A76" w14:textId="19D99CEC" w:rsidR="00BC0A55" w:rsidRDefault="00615C5E" w:rsidP="00BC0A55">
      <w:r>
        <w:t>3</w:t>
      </w:r>
      <w:r w:rsidR="00BC0A55">
        <w:t xml:space="preserve">. Can you document and commit to cost sharing between March 2014 and June 2015? How much will you provide in ongoing support and data for your teachers and staff? Can each district, college, university, business, and community at least $5,000 in match – is that feasible? </w:t>
      </w:r>
    </w:p>
    <w:p w14:paraId="34484754" w14:textId="77777777" w:rsidR="00BC0A55" w:rsidRDefault="00BC0A55" w:rsidP="00BC0A55"/>
    <w:p w14:paraId="53E54206" w14:textId="2E7BC512" w:rsidR="00BC0A55" w:rsidRDefault="00615C5E" w:rsidP="00BC0A55">
      <w:r>
        <w:t>4</w:t>
      </w:r>
      <w:r w:rsidR="00BC0A55">
        <w:t>. Can you commit a</w:t>
      </w:r>
      <w:r>
        <w:t>n</w:t>
      </w:r>
      <w:r w:rsidR="00BC0A55">
        <w:t>y financial resources or cost sharing that has happened in the past 18 months, for the SMS STEM Partnership in areas such as professional development, dual credit, contextualized learning, etc.</w:t>
      </w:r>
      <w:r w:rsidR="00554870">
        <w:t>?</w:t>
      </w:r>
    </w:p>
    <w:p w14:paraId="1D22B839" w14:textId="77777777" w:rsidR="00BC0A55" w:rsidRDefault="00BC0A55" w:rsidP="00BC0A55"/>
    <w:p w14:paraId="58022697" w14:textId="76A07ECF" w:rsidR="00BC0A55" w:rsidRDefault="00615C5E" w:rsidP="00BC0A55">
      <w:r>
        <w:t>5</w:t>
      </w:r>
      <w:r w:rsidR="00BC0A55">
        <w:t xml:space="preserve">. We need to provide the evidence base for the strategies. Do you have studies you can share regarding the evidence base for: </w:t>
      </w:r>
    </w:p>
    <w:p w14:paraId="658F5E6C" w14:textId="77777777" w:rsidR="00BC0A55" w:rsidRDefault="00BC0A55" w:rsidP="00BC0A55">
      <w:pPr>
        <w:pStyle w:val="ListParagraph"/>
        <w:numPr>
          <w:ilvl w:val="0"/>
          <w:numId w:val="3"/>
        </w:numPr>
      </w:pPr>
      <w:r>
        <w:t>the learning community as a model for changing teaching practice</w:t>
      </w:r>
    </w:p>
    <w:p w14:paraId="482640D5" w14:textId="77777777" w:rsidR="00BC0A55" w:rsidRDefault="00BC0A55" w:rsidP="00BC0A55">
      <w:pPr>
        <w:pStyle w:val="ListParagraph"/>
        <w:numPr>
          <w:ilvl w:val="0"/>
          <w:numId w:val="3"/>
        </w:numPr>
      </w:pPr>
      <w:r>
        <w:t>STEM NETwork as a way to bring contextualized learning into the classroom and/or linking out of school and in school activities</w:t>
      </w:r>
    </w:p>
    <w:p w14:paraId="7E91FEEC" w14:textId="77777777" w:rsidR="00BC0A55" w:rsidRDefault="00BC0A55" w:rsidP="00BC0A55">
      <w:pPr>
        <w:pStyle w:val="ListParagraph"/>
        <w:numPr>
          <w:ilvl w:val="0"/>
          <w:numId w:val="3"/>
        </w:numPr>
      </w:pPr>
      <w:r>
        <w:t>accelerated credit / advanced college credit for increasing college going success</w:t>
      </w:r>
    </w:p>
    <w:p w14:paraId="41ED91E1" w14:textId="77777777" w:rsidR="00BC0A55" w:rsidRDefault="00BC0A55" w:rsidP="00BC0A55"/>
    <w:p w14:paraId="52023F2D" w14:textId="168A220C" w:rsidR="00BC0A55" w:rsidRPr="00BB54ED" w:rsidRDefault="00615C5E" w:rsidP="00BC0A55">
      <w:r>
        <w:t>6</w:t>
      </w:r>
      <w:r w:rsidR="00BC0A55">
        <w:t xml:space="preserve">. </w:t>
      </w:r>
      <w:r w:rsidR="00BC0A55" w:rsidRPr="00BB54ED">
        <w:t>How do the 3 SMS STEM strategies/approaches complement implementation of Common Core Standards and Oregon state science standards</w:t>
      </w:r>
      <w:r w:rsidR="00BC0A55">
        <w:t xml:space="preserve"> and/or NGSS</w:t>
      </w:r>
      <w:r w:rsidR="00554870">
        <w:t xml:space="preserve">? </w:t>
      </w:r>
    </w:p>
    <w:p w14:paraId="3B3E8467" w14:textId="77777777" w:rsidR="00BC0A55" w:rsidRDefault="00BC0A55" w:rsidP="00BC0A55"/>
    <w:p w14:paraId="686A4233" w14:textId="166786D1" w:rsidR="00BC0A55" w:rsidRDefault="00615C5E" w:rsidP="00BC0A55">
      <w:r>
        <w:t>7</w:t>
      </w:r>
      <w:r w:rsidR="00BC0A55">
        <w:t xml:space="preserve">. What are </w:t>
      </w:r>
      <w:r w:rsidR="00BC0A55" w:rsidRPr="00BB54ED">
        <w:t>our specific activities to recruit, encourage, engage, and provide opportunities to underserved and underrepres</w:t>
      </w:r>
      <w:r w:rsidR="00BC0A55">
        <w:t>ented students and/or educators?</w:t>
      </w:r>
    </w:p>
    <w:p w14:paraId="4F2EAB45" w14:textId="4C48DA82" w:rsidR="00BC0A55" w:rsidRDefault="00BC0A55" w:rsidP="00554870">
      <w:r>
        <w:tab/>
      </w:r>
    </w:p>
    <w:p w14:paraId="4E703997" w14:textId="48F46FA8" w:rsidR="00BC0A55" w:rsidRPr="00554870" w:rsidRDefault="00BC0A55" w:rsidP="00554870">
      <w:r>
        <w:t xml:space="preserve">8. We need to </w:t>
      </w:r>
      <w:r w:rsidRPr="00615C5E">
        <w:t xml:space="preserve">present the evaluation questions that we will answer in order </w:t>
      </w:r>
      <w:r w:rsidRPr="00B47944">
        <w:t xml:space="preserve">to support our theory of change. </w:t>
      </w:r>
      <w:r w:rsidR="00B47944" w:rsidRPr="00B47944">
        <w:t>We have reframed th</w:t>
      </w:r>
      <w:r w:rsidR="00554870">
        <w:t>e SMS STEM Partnership Guiding P</w:t>
      </w:r>
      <w:r w:rsidR="00B47944" w:rsidRPr="00B47944">
        <w:t>rinciples as questions. Will answering</w:t>
      </w:r>
      <w:r w:rsidRPr="00B47944">
        <w:t xml:space="preserve"> these evaluation questions support our theory of change? </w:t>
      </w:r>
    </w:p>
    <w:p w14:paraId="425E2548" w14:textId="6BB02A6A" w:rsidR="00BC0A55" w:rsidRDefault="00BC0A55" w:rsidP="002E40A8">
      <w:pPr>
        <w:numPr>
          <w:ilvl w:val="0"/>
          <w:numId w:val="2"/>
        </w:numPr>
        <w:tabs>
          <w:tab w:val="num" w:pos="720"/>
          <w:tab w:val="num" w:pos="1080"/>
        </w:tabs>
        <w:spacing w:line="276" w:lineRule="auto"/>
        <w:ind w:left="630"/>
        <w:rPr>
          <w:rFonts w:cs="Calibri"/>
        </w:rPr>
      </w:pPr>
      <w:r>
        <w:rPr>
          <w:rFonts w:cs="Calibri"/>
        </w:rPr>
        <w:t>Will s</w:t>
      </w:r>
      <w:r w:rsidRPr="00576BF4">
        <w:rPr>
          <w:rFonts w:cs="Calibri"/>
        </w:rPr>
        <w:t xml:space="preserve">tudent achievement </w:t>
      </w:r>
      <w:r w:rsidR="00554870">
        <w:rPr>
          <w:rFonts w:cs="Calibri"/>
        </w:rPr>
        <w:t xml:space="preserve">for all demographic groups </w:t>
      </w:r>
      <w:r w:rsidRPr="00576BF4">
        <w:rPr>
          <w:rFonts w:cs="Calibri"/>
        </w:rPr>
        <w:t>improve when</w:t>
      </w:r>
      <w:r>
        <w:rPr>
          <w:rFonts w:cs="Calibri"/>
        </w:rPr>
        <w:t xml:space="preserve"> teachers are provided with a professional learning community that changes instructional practice to be more</w:t>
      </w:r>
      <w:r w:rsidRPr="00576BF4">
        <w:rPr>
          <w:rFonts w:cs="Calibri"/>
        </w:rPr>
        <w:t xml:space="preserve"> contextualized by connections to the world beyond school</w:t>
      </w:r>
      <w:r>
        <w:rPr>
          <w:rFonts w:cs="Calibri"/>
        </w:rPr>
        <w:t>?</w:t>
      </w:r>
    </w:p>
    <w:p w14:paraId="30C90350" w14:textId="77777777" w:rsidR="00BC0A55" w:rsidRPr="00576BF4" w:rsidRDefault="00BC0A55" w:rsidP="002E40A8">
      <w:pPr>
        <w:numPr>
          <w:ilvl w:val="0"/>
          <w:numId w:val="2"/>
        </w:numPr>
        <w:tabs>
          <w:tab w:val="num" w:pos="720"/>
          <w:tab w:val="num" w:pos="1080"/>
        </w:tabs>
        <w:spacing w:line="276" w:lineRule="auto"/>
        <w:ind w:left="630"/>
        <w:rPr>
          <w:rFonts w:cs="Calibri"/>
        </w:rPr>
      </w:pPr>
      <w:r>
        <w:rPr>
          <w:rFonts w:cs="Calibri"/>
        </w:rPr>
        <w:t>Does having a professional learning community support schools developing STEM plans?</w:t>
      </w:r>
    </w:p>
    <w:p w14:paraId="2A90EAD5" w14:textId="28DAD2BB" w:rsidR="00BC0A55" w:rsidRPr="00CD1E58" w:rsidRDefault="00BC0A55" w:rsidP="002E40A8">
      <w:pPr>
        <w:numPr>
          <w:ilvl w:val="0"/>
          <w:numId w:val="2"/>
        </w:numPr>
        <w:tabs>
          <w:tab w:val="num" w:pos="720"/>
          <w:tab w:val="num" w:pos="1080"/>
        </w:tabs>
        <w:spacing w:line="276" w:lineRule="auto"/>
        <w:ind w:left="630"/>
        <w:rPr>
          <w:rFonts w:cs="Calibri"/>
        </w:rPr>
      </w:pPr>
      <w:r w:rsidRPr="00CD1E58">
        <w:rPr>
          <w:rFonts w:cs="Calibri"/>
        </w:rPr>
        <w:t xml:space="preserve">Will teachers </w:t>
      </w:r>
      <w:r>
        <w:rPr>
          <w:rFonts w:cs="Calibri"/>
        </w:rPr>
        <w:t xml:space="preserve">and community partners </w:t>
      </w:r>
      <w:r w:rsidRPr="00CD1E58">
        <w:rPr>
          <w:rFonts w:cs="Calibri"/>
        </w:rPr>
        <w:t xml:space="preserve">utilize a STEM NETwork platform to </w:t>
      </w:r>
      <w:r>
        <w:rPr>
          <w:rFonts w:cs="Calibri"/>
        </w:rPr>
        <w:t>integrate</w:t>
      </w:r>
      <w:r w:rsidRPr="00CD1E58">
        <w:rPr>
          <w:rFonts w:cs="Calibri"/>
        </w:rPr>
        <w:t xml:space="preserve"> </w:t>
      </w:r>
      <w:r>
        <w:rPr>
          <w:rFonts w:cs="Calibri"/>
        </w:rPr>
        <w:t xml:space="preserve">contextualized </w:t>
      </w:r>
      <w:r w:rsidRPr="00576BF4">
        <w:rPr>
          <w:rFonts w:cs="Calibri"/>
        </w:rPr>
        <w:t>STEM teaching and learning resources</w:t>
      </w:r>
      <w:r>
        <w:rPr>
          <w:rFonts w:cs="Calibri"/>
        </w:rPr>
        <w:t xml:space="preserve"> into classroom instruction, with alignment to the Common Core and NGSS</w:t>
      </w:r>
      <w:r w:rsidR="00554870">
        <w:rPr>
          <w:rFonts w:cs="Calibri"/>
        </w:rPr>
        <w:t>?</w:t>
      </w:r>
      <w:r w:rsidRPr="00CD1E58">
        <w:rPr>
          <w:rFonts w:cs="Calibri"/>
        </w:rPr>
        <w:t xml:space="preserve"> </w:t>
      </w:r>
    </w:p>
    <w:p w14:paraId="148DADE5" w14:textId="57D6EF88" w:rsidR="00BC0A55" w:rsidRDefault="00554870" w:rsidP="002E40A8">
      <w:pPr>
        <w:numPr>
          <w:ilvl w:val="0"/>
          <w:numId w:val="2"/>
        </w:numPr>
        <w:tabs>
          <w:tab w:val="num" w:pos="720"/>
          <w:tab w:val="num" w:pos="1080"/>
        </w:tabs>
        <w:spacing w:line="276" w:lineRule="auto"/>
        <w:ind w:left="630"/>
        <w:rPr>
          <w:rFonts w:cs="Calibri"/>
        </w:rPr>
      </w:pPr>
      <w:r>
        <w:rPr>
          <w:rFonts w:cs="Calibri"/>
        </w:rPr>
        <w:t xml:space="preserve">Will </w:t>
      </w:r>
      <w:r w:rsidR="00BC0A55">
        <w:rPr>
          <w:rFonts w:cs="Calibri"/>
        </w:rPr>
        <w:t>expansion of advanced credit and increased</w:t>
      </w:r>
      <w:r w:rsidR="00BC0A55" w:rsidRPr="00576BF4">
        <w:rPr>
          <w:rFonts w:cs="Calibri"/>
        </w:rPr>
        <w:t xml:space="preserve"> bonds to colleges, universities, businesses and community partners </w:t>
      </w:r>
      <w:r w:rsidR="00BC0A55">
        <w:rPr>
          <w:rFonts w:cs="Calibri"/>
        </w:rPr>
        <w:t>result in increased college going persistence?</w:t>
      </w:r>
    </w:p>
    <w:p w14:paraId="1A54ECBB" w14:textId="77777777" w:rsidR="00BC0A55" w:rsidRDefault="00BC0A55" w:rsidP="00BC0A55"/>
    <w:p w14:paraId="605827EE" w14:textId="77777777" w:rsidR="00554870" w:rsidRDefault="00BC0A55" w:rsidP="00BC0A55">
      <w:r>
        <w:t xml:space="preserve">9. What advocacy and policy issues could support the long-term effectiveness of your </w:t>
      </w:r>
    </w:p>
    <w:p w14:paraId="0F8FE4D2" w14:textId="646C4E8E" w:rsidR="00BC0A55" w:rsidRPr="00554870" w:rsidRDefault="00554870">
      <w:r>
        <w:t>SMS/</w:t>
      </w:r>
      <w:r w:rsidR="00BC0A55">
        <w:t>Regional STEM Hub, and the statewide network of Hubs?</w:t>
      </w:r>
      <w:bookmarkStart w:id="1" w:name="_GoBack"/>
      <w:bookmarkEnd w:id="1"/>
    </w:p>
    <w:sectPr w:rsidR="00BC0A55" w:rsidRPr="00554870" w:rsidSect="00664C79">
      <w:footerReference w:type="even" r:id="rId9"/>
      <w:footerReference w:type="default" r:id="rId10"/>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di Tanner Tell" w:date="2013-12-13T11:31:00Z" w:initials="JT">
    <w:p w14:paraId="478A97CD" w14:textId="77777777" w:rsidR="00D511C0" w:rsidRDefault="00D511C0">
      <w:pPr>
        <w:pStyle w:val="CommentText"/>
      </w:pPr>
      <w:r>
        <w:rPr>
          <w:rStyle w:val="CommentReference"/>
        </w:rPr>
        <w:annotationRef/>
      </w:r>
      <w:r>
        <w:t>Lita – do you think we want to try to add teachers &amp; students impacted in this way? We will end up with “duplicated” numbers – counting teachers and students more than once.</w:t>
      </w:r>
    </w:p>
    <w:p w14:paraId="1546A5DF" w14:textId="77777777" w:rsidR="00D511C0" w:rsidRDefault="00D511C0">
      <w:pPr>
        <w:pStyle w:val="CommentText"/>
      </w:pPr>
    </w:p>
    <w:p w14:paraId="3A966869" w14:textId="1E7BDCD8" w:rsidR="00D511C0" w:rsidRDefault="00D511C0">
      <w:pPr>
        <w:pStyle w:val="CommentText"/>
      </w:pPr>
      <w:r>
        <w:t>Another option would be for us to make an estimate for the regional overall. So we could say something like 500 teachers and 10,000 students (or whatever numbers are appropriate). Then we just need to know how we’ll track it under the grant.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9668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EB6AC" w14:textId="77777777" w:rsidR="00EA4F0A" w:rsidRDefault="00EA4F0A" w:rsidP="00AB0075">
      <w:r>
        <w:separator/>
      </w:r>
    </w:p>
  </w:endnote>
  <w:endnote w:type="continuationSeparator" w:id="0">
    <w:p w14:paraId="64DE8A35" w14:textId="77777777" w:rsidR="00EA4F0A" w:rsidRDefault="00EA4F0A" w:rsidP="00AB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7DCBF" w14:textId="77777777" w:rsidR="00AB0075" w:rsidRDefault="00AB0075" w:rsidP="00D314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91E4EB" w14:textId="77777777" w:rsidR="00AB0075" w:rsidRDefault="00AB0075" w:rsidP="00AB00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97EBF" w14:textId="77777777" w:rsidR="00AB0075" w:rsidRDefault="00AB0075" w:rsidP="00D314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4870">
      <w:rPr>
        <w:rStyle w:val="PageNumber"/>
        <w:noProof/>
      </w:rPr>
      <w:t>3</w:t>
    </w:r>
    <w:r>
      <w:rPr>
        <w:rStyle w:val="PageNumber"/>
      </w:rPr>
      <w:fldChar w:fldCharType="end"/>
    </w:r>
  </w:p>
  <w:p w14:paraId="7D75A4A0" w14:textId="77777777" w:rsidR="00AB0075" w:rsidRDefault="00AB0075" w:rsidP="00AB00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05E4F" w14:textId="77777777" w:rsidR="00EA4F0A" w:rsidRDefault="00EA4F0A" w:rsidP="00AB0075">
      <w:r>
        <w:separator/>
      </w:r>
    </w:p>
  </w:footnote>
  <w:footnote w:type="continuationSeparator" w:id="0">
    <w:p w14:paraId="509202C6" w14:textId="77777777" w:rsidR="00EA4F0A" w:rsidRDefault="00EA4F0A" w:rsidP="00AB0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E0E8A274">
      <w:start w:val="1"/>
      <w:numFmt w:val="decimal"/>
      <w:lvlText w:val="%1."/>
      <w:lvlJc w:val="left"/>
      <w:pPr>
        <w:tabs>
          <w:tab w:val="num" w:pos="-720"/>
        </w:tabs>
        <w:ind w:left="-360" w:hanging="360"/>
      </w:pPr>
      <w:rPr>
        <w:rFonts w:ascii="Cambria" w:eastAsia="Cambria" w:hAnsi="Cambria" w:cs="Cambria"/>
        <w:b w:val="0"/>
        <w:bCs w:val="0"/>
        <w:i w:val="0"/>
        <w:iCs w:val="0"/>
        <w:strike w:val="0"/>
        <w:color w:val="000000"/>
        <w:sz w:val="20"/>
        <w:szCs w:val="20"/>
        <w:u w:val="none"/>
      </w:rPr>
    </w:lvl>
    <w:lvl w:ilvl="1" w:tplc="AE28DA84">
      <w:start w:val="1"/>
      <w:numFmt w:val="lowerLetter"/>
      <w:lvlText w:val="%2."/>
      <w:lvlJc w:val="left"/>
      <w:pPr>
        <w:tabs>
          <w:tab w:val="num" w:pos="0"/>
        </w:tabs>
        <w:ind w:left="360" w:hanging="360"/>
      </w:pPr>
      <w:rPr>
        <w:rFonts w:ascii="Cambria" w:eastAsia="Cambria" w:hAnsi="Cambria" w:cs="Cambria"/>
        <w:b w:val="0"/>
        <w:bCs w:val="0"/>
        <w:i w:val="0"/>
        <w:iCs w:val="0"/>
        <w:strike w:val="0"/>
        <w:color w:val="000000"/>
        <w:sz w:val="20"/>
        <w:szCs w:val="20"/>
        <w:u w:val="none"/>
      </w:rPr>
    </w:lvl>
    <w:lvl w:ilvl="2" w:tplc="9E5CA12C">
      <w:start w:val="1"/>
      <w:numFmt w:val="lowerRoman"/>
      <w:lvlText w:val="%3."/>
      <w:lvlJc w:val="right"/>
      <w:pPr>
        <w:tabs>
          <w:tab w:val="num" w:pos="720"/>
        </w:tabs>
        <w:ind w:left="1080" w:hanging="180"/>
      </w:pPr>
      <w:rPr>
        <w:rFonts w:ascii="Cambria" w:eastAsia="Cambria" w:hAnsi="Cambria" w:cs="Cambria"/>
        <w:b w:val="0"/>
        <w:bCs w:val="0"/>
        <w:i w:val="0"/>
        <w:iCs w:val="0"/>
        <w:strike w:val="0"/>
        <w:color w:val="000000"/>
        <w:sz w:val="20"/>
        <w:szCs w:val="20"/>
        <w:u w:val="none"/>
      </w:rPr>
    </w:lvl>
    <w:lvl w:ilvl="3" w:tplc="8048B556">
      <w:start w:val="1"/>
      <w:numFmt w:val="decimal"/>
      <w:lvlText w:val="%4."/>
      <w:lvlJc w:val="left"/>
      <w:pPr>
        <w:tabs>
          <w:tab w:val="num" w:pos="1440"/>
        </w:tabs>
        <w:ind w:left="1800" w:hanging="360"/>
      </w:pPr>
      <w:rPr>
        <w:rFonts w:ascii="Cambria" w:eastAsia="Cambria" w:hAnsi="Cambria" w:cs="Cambria"/>
        <w:b w:val="0"/>
        <w:bCs w:val="0"/>
        <w:i w:val="0"/>
        <w:iCs w:val="0"/>
        <w:strike w:val="0"/>
        <w:color w:val="000000"/>
        <w:sz w:val="20"/>
        <w:szCs w:val="20"/>
        <w:u w:val="none"/>
      </w:rPr>
    </w:lvl>
    <w:lvl w:ilvl="4" w:tplc="266C58DE">
      <w:start w:val="1"/>
      <w:numFmt w:val="lowerLetter"/>
      <w:lvlText w:val="%5."/>
      <w:lvlJc w:val="left"/>
      <w:pPr>
        <w:tabs>
          <w:tab w:val="num" w:pos="2160"/>
        </w:tabs>
        <w:ind w:left="2520" w:hanging="360"/>
      </w:pPr>
      <w:rPr>
        <w:rFonts w:ascii="Cambria" w:eastAsia="Cambria" w:hAnsi="Cambria" w:cs="Cambria"/>
        <w:b w:val="0"/>
        <w:bCs w:val="0"/>
        <w:i w:val="0"/>
        <w:iCs w:val="0"/>
        <w:strike w:val="0"/>
        <w:color w:val="000000"/>
        <w:sz w:val="20"/>
        <w:szCs w:val="20"/>
        <w:u w:val="none"/>
      </w:rPr>
    </w:lvl>
    <w:lvl w:ilvl="5" w:tplc="A4B2EE44">
      <w:start w:val="1"/>
      <w:numFmt w:val="lowerRoman"/>
      <w:lvlText w:val="%6."/>
      <w:lvlJc w:val="right"/>
      <w:pPr>
        <w:tabs>
          <w:tab w:val="num" w:pos="2880"/>
        </w:tabs>
        <w:ind w:left="3240" w:hanging="180"/>
      </w:pPr>
      <w:rPr>
        <w:rFonts w:ascii="Cambria" w:eastAsia="Cambria" w:hAnsi="Cambria" w:cs="Cambria"/>
        <w:b w:val="0"/>
        <w:bCs w:val="0"/>
        <w:i w:val="0"/>
        <w:iCs w:val="0"/>
        <w:strike w:val="0"/>
        <w:color w:val="000000"/>
        <w:sz w:val="20"/>
        <w:szCs w:val="20"/>
        <w:u w:val="none"/>
      </w:rPr>
    </w:lvl>
    <w:lvl w:ilvl="6" w:tplc="2A683786">
      <w:start w:val="1"/>
      <w:numFmt w:val="decimal"/>
      <w:lvlText w:val="%7."/>
      <w:lvlJc w:val="left"/>
      <w:pPr>
        <w:tabs>
          <w:tab w:val="num" w:pos="3600"/>
        </w:tabs>
        <w:ind w:left="3960" w:hanging="360"/>
      </w:pPr>
      <w:rPr>
        <w:rFonts w:ascii="Cambria" w:eastAsia="Cambria" w:hAnsi="Cambria" w:cs="Cambria"/>
        <w:b w:val="0"/>
        <w:bCs w:val="0"/>
        <w:i w:val="0"/>
        <w:iCs w:val="0"/>
        <w:strike w:val="0"/>
        <w:color w:val="000000"/>
        <w:sz w:val="20"/>
        <w:szCs w:val="20"/>
        <w:u w:val="none"/>
      </w:rPr>
    </w:lvl>
    <w:lvl w:ilvl="7" w:tplc="6B6221AC">
      <w:start w:val="1"/>
      <w:numFmt w:val="lowerLetter"/>
      <w:lvlText w:val="%8."/>
      <w:lvlJc w:val="left"/>
      <w:pPr>
        <w:tabs>
          <w:tab w:val="num" w:pos="4320"/>
        </w:tabs>
        <w:ind w:left="4680" w:hanging="360"/>
      </w:pPr>
      <w:rPr>
        <w:rFonts w:ascii="Cambria" w:eastAsia="Cambria" w:hAnsi="Cambria" w:cs="Cambria"/>
        <w:b w:val="0"/>
        <w:bCs w:val="0"/>
        <w:i w:val="0"/>
        <w:iCs w:val="0"/>
        <w:strike w:val="0"/>
        <w:color w:val="000000"/>
        <w:sz w:val="20"/>
        <w:szCs w:val="20"/>
        <w:u w:val="none"/>
      </w:rPr>
    </w:lvl>
    <w:lvl w:ilvl="8" w:tplc="41023F6C">
      <w:start w:val="1"/>
      <w:numFmt w:val="lowerRoman"/>
      <w:lvlText w:val="%9."/>
      <w:lvlJc w:val="right"/>
      <w:pPr>
        <w:tabs>
          <w:tab w:val="num" w:pos="5040"/>
        </w:tabs>
        <w:ind w:left="5400" w:hanging="180"/>
      </w:pPr>
      <w:rPr>
        <w:rFonts w:ascii="Cambria" w:eastAsia="Cambria" w:hAnsi="Cambria" w:cs="Cambria"/>
        <w:b w:val="0"/>
        <w:bCs w:val="0"/>
        <w:i w:val="0"/>
        <w:iCs w:val="0"/>
        <w:strike w:val="0"/>
        <w:color w:val="000000"/>
        <w:sz w:val="20"/>
        <w:szCs w:val="20"/>
        <w:u w:val="none"/>
      </w:rPr>
    </w:lvl>
  </w:abstractNum>
  <w:abstractNum w:abstractNumId="1">
    <w:nsid w:val="06EF2AAB"/>
    <w:multiLevelType w:val="hybridMultilevel"/>
    <w:tmpl w:val="6004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27F04"/>
    <w:multiLevelType w:val="hybridMultilevel"/>
    <w:tmpl w:val="4218E5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C4F8F"/>
    <w:multiLevelType w:val="hybridMultilevel"/>
    <w:tmpl w:val="3AC63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D71CE"/>
    <w:multiLevelType w:val="hybridMultilevel"/>
    <w:tmpl w:val="9CCE1F8C"/>
    <w:lvl w:ilvl="0" w:tplc="440CDCA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50"/>
    <w:rsid w:val="002B6C22"/>
    <w:rsid w:val="002E40A8"/>
    <w:rsid w:val="002F3F58"/>
    <w:rsid w:val="003D4D50"/>
    <w:rsid w:val="00484850"/>
    <w:rsid w:val="005459CB"/>
    <w:rsid w:val="00554870"/>
    <w:rsid w:val="005A3088"/>
    <w:rsid w:val="00615C5E"/>
    <w:rsid w:val="00664C79"/>
    <w:rsid w:val="006C5B11"/>
    <w:rsid w:val="00871EF8"/>
    <w:rsid w:val="0099612C"/>
    <w:rsid w:val="00AB0075"/>
    <w:rsid w:val="00B47944"/>
    <w:rsid w:val="00B972E9"/>
    <w:rsid w:val="00BC0A55"/>
    <w:rsid w:val="00C932DE"/>
    <w:rsid w:val="00D22F4E"/>
    <w:rsid w:val="00D511C0"/>
    <w:rsid w:val="00E37B2C"/>
    <w:rsid w:val="00EA4F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817C0"/>
  <w15:docId w15:val="{D2713E6B-08EA-4F75-8046-0DFDD5FB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9CB"/>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A55"/>
    <w:pPr>
      <w:ind w:left="720"/>
      <w:contextualSpacing/>
    </w:pPr>
  </w:style>
  <w:style w:type="table" w:styleId="TableGrid">
    <w:name w:val="Table Grid"/>
    <w:basedOn w:val="TableNormal"/>
    <w:uiPriority w:val="59"/>
    <w:rsid w:val="00B47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47944"/>
    <w:rPr>
      <w:rFonts w:eastAsiaTheme="minorHAnsi"/>
      <w:sz w:val="22"/>
      <w:szCs w:val="22"/>
      <w:lang w:eastAsia="en-US"/>
    </w:rPr>
  </w:style>
  <w:style w:type="paragraph" w:styleId="Footer">
    <w:name w:val="footer"/>
    <w:basedOn w:val="Normal"/>
    <w:link w:val="FooterChar"/>
    <w:uiPriority w:val="99"/>
    <w:unhideWhenUsed/>
    <w:rsid w:val="00AB0075"/>
    <w:pPr>
      <w:tabs>
        <w:tab w:val="center" w:pos="4320"/>
        <w:tab w:val="right" w:pos="8640"/>
      </w:tabs>
    </w:pPr>
  </w:style>
  <w:style w:type="character" w:customStyle="1" w:styleId="FooterChar">
    <w:name w:val="Footer Char"/>
    <w:basedOn w:val="DefaultParagraphFont"/>
    <w:link w:val="Footer"/>
    <w:uiPriority w:val="99"/>
    <w:rsid w:val="00AB0075"/>
    <w:rPr>
      <w:rFonts w:ascii="Times" w:hAnsi="Times"/>
      <w:sz w:val="24"/>
      <w:szCs w:val="24"/>
    </w:rPr>
  </w:style>
  <w:style w:type="character" w:styleId="PageNumber">
    <w:name w:val="page number"/>
    <w:basedOn w:val="DefaultParagraphFont"/>
    <w:uiPriority w:val="99"/>
    <w:semiHidden/>
    <w:unhideWhenUsed/>
    <w:rsid w:val="00AB0075"/>
  </w:style>
  <w:style w:type="character" w:styleId="CommentReference">
    <w:name w:val="annotation reference"/>
    <w:basedOn w:val="DefaultParagraphFont"/>
    <w:uiPriority w:val="99"/>
    <w:semiHidden/>
    <w:unhideWhenUsed/>
    <w:rsid w:val="00D511C0"/>
    <w:rPr>
      <w:sz w:val="18"/>
      <w:szCs w:val="18"/>
    </w:rPr>
  </w:style>
  <w:style w:type="paragraph" w:styleId="CommentText">
    <w:name w:val="annotation text"/>
    <w:basedOn w:val="Normal"/>
    <w:link w:val="CommentTextChar"/>
    <w:uiPriority w:val="99"/>
    <w:semiHidden/>
    <w:unhideWhenUsed/>
    <w:rsid w:val="00D511C0"/>
  </w:style>
  <w:style w:type="character" w:customStyle="1" w:styleId="CommentTextChar">
    <w:name w:val="Comment Text Char"/>
    <w:basedOn w:val="DefaultParagraphFont"/>
    <w:link w:val="CommentText"/>
    <w:uiPriority w:val="99"/>
    <w:semiHidden/>
    <w:rsid w:val="00D511C0"/>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D511C0"/>
    <w:rPr>
      <w:b/>
      <w:bCs/>
      <w:sz w:val="20"/>
      <w:szCs w:val="20"/>
    </w:rPr>
  </w:style>
  <w:style w:type="character" w:customStyle="1" w:styleId="CommentSubjectChar">
    <w:name w:val="Comment Subject Char"/>
    <w:basedOn w:val="CommentTextChar"/>
    <w:link w:val="CommentSubject"/>
    <w:uiPriority w:val="99"/>
    <w:semiHidden/>
    <w:rsid w:val="00D511C0"/>
    <w:rPr>
      <w:rFonts w:ascii="Times" w:hAnsi="Times"/>
      <w:b/>
      <w:bCs/>
      <w:sz w:val="24"/>
      <w:szCs w:val="24"/>
    </w:rPr>
  </w:style>
  <w:style w:type="paragraph" w:styleId="BalloonText">
    <w:name w:val="Balloon Text"/>
    <w:basedOn w:val="Normal"/>
    <w:link w:val="BalloonTextChar"/>
    <w:uiPriority w:val="99"/>
    <w:semiHidden/>
    <w:unhideWhenUsed/>
    <w:rsid w:val="00D511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1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Tanner Tell</dc:creator>
  <cp:keywords/>
  <dc:description/>
  <cp:lastModifiedBy>Lita Colligan</cp:lastModifiedBy>
  <cp:revision>2</cp:revision>
  <dcterms:created xsi:type="dcterms:W3CDTF">2013-12-13T23:51:00Z</dcterms:created>
  <dcterms:modified xsi:type="dcterms:W3CDTF">2013-12-13T23:51:00Z</dcterms:modified>
</cp:coreProperties>
</file>