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C87BC" w14:textId="77777777" w:rsidR="00BF7F07" w:rsidRPr="00282BFE" w:rsidRDefault="00BF7F07" w:rsidP="00F65320">
      <w:pPr>
        <w:ind w:right="12"/>
        <w:rPr>
          <w:rFonts w:asciiTheme="minorHAnsi" w:hAnsiTheme="minorHAnsi"/>
          <w:b/>
          <w:sz w:val="24"/>
        </w:rPr>
      </w:pPr>
    </w:p>
    <w:p w14:paraId="68F019C0" w14:textId="77777777" w:rsidR="00BF7F07" w:rsidRPr="00282BFE" w:rsidRDefault="00BF7F07" w:rsidP="00F65320">
      <w:pPr>
        <w:ind w:right="12"/>
        <w:rPr>
          <w:rFonts w:asciiTheme="minorHAnsi" w:hAnsiTheme="minorHAnsi"/>
          <w:sz w:val="24"/>
        </w:rPr>
      </w:pPr>
    </w:p>
    <w:p w14:paraId="5E18CEAA" w14:textId="77777777" w:rsidR="00BF7F07" w:rsidRDefault="000C7F77" w:rsidP="00F65320">
      <w:pPr>
        <w:ind w:right="12"/>
        <w:rPr>
          <w:rFonts w:asciiTheme="minorHAnsi" w:hAnsiTheme="minorHAnsi"/>
          <w:sz w:val="24"/>
        </w:rPr>
      </w:pPr>
      <w:bookmarkStart w:id="0" w:name="_MON_990337853"/>
      <w:bookmarkEnd w:id="0"/>
      <w:r>
        <w:rPr>
          <w:noProof/>
        </w:rPr>
        <w:drawing>
          <wp:inline distT="0" distB="0" distL="0" distR="0" wp14:anchorId="3EEA4595" wp14:editId="3C7C28CA">
            <wp:extent cx="6391910" cy="1317990"/>
            <wp:effectExtent l="0" t="0" r="0" b="0"/>
            <wp:docPr id="9" name="Picture 9" descr="http://www.oit.edu/images/default-source/public-relations/logo/oregon-tech-text-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it.edu/images/default-source/public-relations/logo/oregon-tech-text-4c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910" cy="1317990"/>
                    </a:xfrm>
                    <a:prstGeom prst="rect">
                      <a:avLst/>
                    </a:prstGeom>
                    <a:noFill/>
                    <a:ln>
                      <a:noFill/>
                    </a:ln>
                  </pic:spPr>
                </pic:pic>
              </a:graphicData>
            </a:graphic>
          </wp:inline>
        </w:drawing>
      </w:r>
    </w:p>
    <w:p w14:paraId="78BD2985" w14:textId="77777777" w:rsidR="000C7F77" w:rsidRDefault="000C7F77" w:rsidP="00F65320">
      <w:pPr>
        <w:ind w:right="12"/>
        <w:rPr>
          <w:rFonts w:asciiTheme="minorHAnsi" w:hAnsiTheme="minorHAnsi"/>
          <w:sz w:val="24"/>
        </w:rPr>
      </w:pPr>
    </w:p>
    <w:p w14:paraId="0BEEC463" w14:textId="77777777" w:rsidR="000C7F77" w:rsidRDefault="000C7F77" w:rsidP="00F65320">
      <w:pPr>
        <w:ind w:right="12"/>
        <w:rPr>
          <w:rFonts w:asciiTheme="minorHAnsi" w:hAnsiTheme="minorHAnsi"/>
          <w:sz w:val="24"/>
        </w:rPr>
      </w:pPr>
    </w:p>
    <w:p w14:paraId="61F0C12F" w14:textId="77777777" w:rsidR="000C7F77" w:rsidRDefault="000C7F77" w:rsidP="00F65320">
      <w:pPr>
        <w:ind w:right="12"/>
        <w:rPr>
          <w:rFonts w:asciiTheme="minorHAnsi" w:hAnsiTheme="minorHAnsi"/>
          <w:sz w:val="24"/>
        </w:rPr>
      </w:pPr>
    </w:p>
    <w:p w14:paraId="6C302341" w14:textId="77777777" w:rsidR="000C7F77" w:rsidRDefault="000C7F77" w:rsidP="00F65320">
      <w:pPr>
        <w:ind w:right="12"/>
        <w:rPr>
          <w:rFonts w:asciiTheme="minorHAnsi" w:hAnsiTheme="minorHAnsi"/>
          <w:sz w:val="24"/>
        </w:rPr>
      </w:pPr>
    </w:p>
    <w:p w14:paraId="0DC56622" w14:textId="63C764D0" w:rsidR="00DA2B4C" w:rsidRPr="00997081" w:rsidRDefault="000C7F77" w:rsidP="00F65320">
      <w:pPr>
        <w:ind w:right="12"/>
        <w:jc w:val="center"/>
        <w:rPr>
          <w:rFonts w:asciiTheme="minorHAnsi" w:hAnsiTheme="minorHAnsi"/>
          <w:b/>
          <w:sz w:val="32"/>
        </w:rPr>
      </w:pPr>
      <w:r>
        <w:rPr>
          <w:rFonts w:asciiTheme="minorHAnsi" w:hAnsiTheme="minorHAnsi"/>
          <w:b/>
          <w:sz w:val="32"/>
        </w:rPr>
        <w:t>20</w:t>
      </w:r>
      <w:r w:rsidR="00C811FA">
        <w:rPr>
          <w:rFonts w:asciiTheme="minorHAnsi" w:hAnsiTheme="minorHAnsi"/>
          <w:b/>
          <w:sz w:val="32"/>
        </w:rPr>
        <w:t>17</w:t>
      </w:r>
      <w:r w:rsidR="00C56532" w:rsidRPr="00997081">
        <w:rPr>
          <w:rFonts w:asciiTheme="minorHAnsi" w:hAnsiTheme="minorHAnsi"/>
          <w:b/>
          <w:sz w:val="32"/>
        </w:rPr>
        <w:t>-</w:t>
      </w:r>
      <w:r w:rsidR="00F23B25" w:rsidRPr="00997081">
        <w:rPr>
          <w:rFonts w:asciiTheme="minorHAnsi" w:hAnsiTheme="minorHAnsi"/>
          <w:b/>
          <w:sz w:val="32"/>
        </w:rPr>
        <w:t>1</w:t>
      </w:r>
      <w:r w:rsidR="00C811FA">
        <w:rPr>
          <w:rFonts w:asciiTheme="minorHAnsi" w:hAnsiTheme="minorHAnsi"/>
          <w:b/>
          <w:sz w:val="32"/>
        </w:rPr>
        <w:t>8</w:t>
      </w:r>
      <w:r w:rsidR="00F23B25" w:rsidRPr="00997081">
        <w:rPr>
          <w:rFonts w:asciiTheme="minorHAnsi" w:hAnsiTheme="minorHAnsi"/>
          <w:b/>
          <w:sz w:val="32"/>
        </w:rPr>
        <w:t xml:space="preserve"> </w:t>
      </w:r>
      <w:r w:rsidR="00BF7F07" w:rsidRPr="00997081">
        <w:rPr>
          <w:rFonts w:asciiTheme="minorHAnsi" w:hAnsiTheme="minorHAnsi"/>
          <w:b/>
          <w:sz w:val="32"/>
        </w:rPr>
        <w:t>Academic Year</w:t>
      </w:r>
    </w:p>
    <w:p w14:paraId="68EBE105" w14:textId="77777777" w:rsidR="00DA2B4C" w:rsidRPr="00997081" w:rsidRDefault="00DA2B4C" w:rsidP="00F65320">
      <w:pPr>
        <w:ind w:right="12"/>
        <w:jc w:val="center"/>
        <w:rPr>
          <w:rFonts w:asciiTheme="minorHAnsi" w:hAnsiTheme="minorHAnsi"/>
          <w:b/>
          <w:sz w:val="32"/>
        </w:rPr>
      </w:pPr>
      <w:r w:rsidRPr="00997081">
        <w:rPr>
          <w:rFonts w:asciiTheme="minorHAnsi" w:hAnsiTheme="minorHAnsi"/>
          <w:b/>
          <w:sz w:val="32"/>
        </w:rPr>
        <w:t>&amp;</w:t>
      </w:r>
    </w:p>
    <w:p w14:paraId="3C245F46" w14:textId="7373756C" w:rsidR="00DA2B4C" w:rsidRPr="00997081" w:rsidRDefault="000C7F77" w:rsidP="00F65320">
      <w:pPr>
        <w:ind w:right="12"/>
        <w:jc w:val="center"/>
        <w:rPr>
          <w:rFonts w:asciiTheme="minorHAnsi" w:hAnsiTheme="minorHAnsi"/>
          <w:b/>
          <w:sz w:val="32"/>
        </w:rPr>
      </w:pPr>
      <w:r>
        <w:rPr>
          <w:rFonts w:asciiTheme="minorHAnsi" w:hAnsiTheme="minorHAnsi"/>
          <w:b/>
          <w:sz w:val="32"/>
        </w:rPr>
        <w:t>201</w:t>
      </w:r>
      <w:r w:rsidR="00810E22">
        <w:rPr>
          <w:rFonts w:asciiTheme="minorHAnsi" w:hAnsiTheme="minorHAnsi"/>
          <w:b/>
          <w:sz w:val="32"/>
        </w:rPr>
        <w:t>8</w:t>
      </w:r>
      <w:r w:rsidR="00F23B25" w:rsidRPr="00997081">
        <w:rPr>
          <w:rFonts w:asciiTheme="minorHAnsi" w:hAnsiTheme="minorHAnsi"/>
          <w:b/>
          <w:sz w:val="32"/>
        </w:rPr>
        <w:t xml:space="preserve"> </w:t>
      </w:r>
      <w:r w:rsidR="00DA2B4C" w:rsidRPr="00997081">
        <w:rPr>
          <w:rFonts w:asciiTheme="minorHAnsi" w:hAnsiTheme="minorHAnsi"/>
          <w:b/>
          <w:sz w:val="32"/>
        </w:rPr>
        <w:t>Summer Session</w:t>
      </w:r>
    </w:p>
    <w:p w14:paraId="5A67CDD4" w14:textId="77777777" w:rsidR="00BF7F07" w:rsidRDefault="00BF7F07" w:rsidP="00F65320">
      <w:pPr>
        <w:ind w:right="12"/>
        <w:jc w:val="center"/>
        <w:rPr>
          <w:rFonts w:asciiTheme="minorHAnsi" w:hAnsiTheme="minorHAnsi"/>
          <w:b/>
          <w:sz w:val="32"/>
        </w:rPr>
      </w:pPr>
      <w:r w:rsidRPr="00997081">
        <w:rPr>
          <w:rFonts w:asciiTheme="minorHAnsi" w:hAnsiTheme="minorHAnsi"/>
          <w:b/>
          <w:sz w:val="32"/>
        </w:rPr>
        <w:t>Fee Book</w:t>
      </w:r>
    </w:p>
    <w:p w14:paraId="5B503034" w14:textId="77777777" w:rsidR="00BF7F07" w:rsidRDefault="00BF7F07" w:rsidP="00F65320">
      <w:pPr>
        <w:ind w:right="12"/>
        <w:jc w:val="right"/>
        <w:rPr>
          <w:rFonts w:asciiTheme="minorHAnsi" w:hAnsiTheme="minorHAnsi"/>
          <w:sz w:val="32"/>
        </w:rPr>
      </w:pPr>
    </w:p>
    <w:p w14:paraId="2E563433" w14:textId="77777777" w:rsidR="008A223A" w:rsidRPr="00997081" w:rsidRDefault="008A223A" w:rsidP="00F65320">
      <w:pPr>
        <w:ind w:right="12"/>
        <w:jc w:val="right"/>
        <w:rPr>
          <w:rFonts w:asciiTheme="minorHAnsi" w:hAnsiTheme="minorHAnsi"/>
          <w:sz w:val="32"/>
        </w:rPr>
      </w:pPr>
    </w:p>
    <w:p w14:paraId="3C1D654A" w14:textId="77777777" w:rsidR="00CF1459" w:rsidRDefault="00CF1459" w:rsidP="00E8060A">
      <w:pPr>
        <w:ind w:right="12"/>
        <w:rPr>
          <w:rFonts w:asciiTheme="minorHAnsi" w:hAnsiTheme="minorHAnsi"/>
          <w:sz w:val="24"/>
        </w:rPr>
      </w:pPr>
    </w:p>
    <w:p w14:paraId="4EC39CC7" w14:textId="77777777" w:rsidR="00CF1459" w:rsidRDefault="00CF1459" w:rsidP="00E8060A">
      <w:pPr>
        <w:ind w:right="12"/>
        <w:rPr>
          <w:rFonts w:asciiTheme="minorHAnsi" w:hAnsiTheme="minorHAnsi"/>
          <w:sz w:val="24"/>
        </w:rPr>
      </w:pPr>
    </w:p>
    <w:p w14:paraId="4162506A" w14:textId="77777777" w:rsidR="00CF1459" w:rsidRDefault="00CF1459" w:rsidP="00E8060A">
      <w:pPr>
        <w:ind w:right="12"/>
        <w:rPr>
          <w:rFonts w:asciiTheme="minorHAnsi" w:hAnsiTheme="minorHAnsi"/>
          <w:sz w:val="24"/>
        </w:rPr>
      </w:pPr>
    </w:p>
    <w:p w14:paraId="73B3CF57" w14:textId="77777777" w:rsidR="00CF1459" w:rsidRDefault="00CF1459" w:rsidP="00E8060A">
      <w:pPr>
        <w:ind w:right="12"/>
        <w:rPr>
          <w:rFonts w:asciiTheme="minorHAnsi" w:hAnsiTheme="minorHAnsi"/>
          <w:sz w:val="24"/>
        </w:rPr>
      </w:pPr>
    </w:p>
    <w:p w14:paraId="54263ED4" w14:textId="77777777" w:rsidR="00CF1459" w:rsidRPr="00282BFE" w:rsidRDefault="00CF1459" w:rsidP="00E8060A">
      <w:pPr>
        <w:ind w:right="12"/>
        <w:rPr>
          <w:rFonts w:asciiTheme="minorHAnsi" w:hAnsiTheme="minorHAnsi"/>
          <w:sz w:val="24"/>
        </w:rPr>
      </w:pPr>
    </w:p>
    <w:p w14:paraId="5A453F87" w14:textId="77777777" w:rsidR="00BF7F07" w:rsidRPr="00282BFE" w:rsidRDefault="00BF7F07" w:rsidP="00E8060A">
      <w:pPr>
        <w:ind w:right="12"/>
        <w:rPr>
          <w:rFonts w:asciiTheme="minorHAnsi" w:hAnsiTheme="minorHAnsi"/>
          <w:sz w:val="24"/>
        </w:rPr>
      </w:pPr>
    </w:p>
    <w:p w14:paraId="2DA30931" w14:textId="77777777" w:rsidR="00BF7F07" w:rsidRDefault="00BF7F07" w:rsidP="00F65320">
      <w:pPr>
        <w:spacing w:before="60"/>
        <w:ind w:right="12"/>
        <w:jc w:val="center"/>
        <w:rPr>
          <w:rFonts w:asciiTheme="minorHAnsi" w:hAnsiTheme="minorHAnsi"/>
          <w:b/>
          <w:smallCaps/>
          <w:sz w:val="24"/>
        </w:rPr>
      </w:pPr>
      <w:r w:rsidRPr="00282BFE">
        <w:rPr>
          <w:rFonts w:asciiTheme="minorHAnsi" w:hAnsiTheme="minorHAnsi"/>
          <w:b/>
          <w:smallCaps/>
          <w:sz w:val="24"/>
        </w:rPr>
        <w:t xml:space="preserve">Oregon </w:t>
      </w:r>
      <w:r w:rsidR="000C7F77">
        <w:rPr>
          <w:rFonts w:asciiTheme="minorHAnsi" w:hAnsiTheme="minorHAnsi"/>
          <w:b/>
          <w:smallCaps/>
          <w:sz w:val="24"/>
        </w:rPr>
        <w:t xml:space="preserve">Institute of </w:t>
      </w:r>
      <w:r w:rsidR="00F23B25" w:rsidRPr="00282BFE">
        <w:rPr>
          <w:rFonts w:asciiTheme="minorHAnsi" w:hAnsiTheme="minorHAnsi"/>
          <w:b/>
          <w:smallCaps/>
          <w:sz w:val="24"/>
        </w:rPr>
        <w:t>Tech</w:t>
      </w:r>
      <w:r w:rsidR="000C7F77">
        <w:rPr>
          <w:rFonts w:asciiTheme="minorHAnsi" w:hAnsiTheme="minorHAnsi"/>
          <w:b/>
          <w:smallCaps/>
          <w:sz w:val="24"/>
        </w:rPr>
        <w:t>nology</w:t>
      </w:r>
    </w:p>
    <w:p w14:paraId="62A46CE6" w14:textId="77777777" w:rsidR="000C7F77" w:rsidRDefault="000C7F77" w:rsidP="00F65320">
      <w:pPr>
        <w:spacing w:before="60"/>
        <w:ind w:right="12"/>
        <w:jc w:val="center"/>
        <w:rPr>
          <w:rFonts w:asciiTheme="minorHAnsi" w:hAnsiTheme="minorHAnsi"/>
          <w:b/>
          <w:smallCaps/>
          <w:sz w:val="24"/>
        </w:rPr>
      </w:pPr>
      <w:r>
        <w:rPr>
          <w:rFonts w:asciiTheme="minorHAnsi" w:hAnsiTheme="minorHAnsi"/>
          <w:b/>
          <w:smallCaps/>
          <w:sz w:val="24"/>
        </w:rPr>
        <w:t>3201 Campus Drive</w:t>
      </w:r>
    </w:p>
    <w:p w14:paraId="58F29410" w14:textId="77777777" w:rsidR="000C7F77" w:rsidRPr="00282BFE" w:rsidRDefault="000C7F77" w:rsidP="00F65320">
      <w:pPr>
        <w:spacing w:before="60"/>
        <w:ind w:right="12"/>
        <w:jc w:val="center"/>
        <w:rPr>
          <w:rFonts w:asciiTheme="minorHAnsi" w:hAnsiTheme="minorHAnsi"/>
          <w:b/>
          <w:smallCaps/>
          <w:sz w:val="24"/>
        </w:rPr>
      </w:pPr>
      <w:r>
        <w:rPr>
          <w:rFonts w:asciiTheme="minorHAnsi" w:hAnsiTheme="minorHAnsi"/>
          <w:b/>
          <w:smallCaps/>
          <w:sz w:val="24"/>
        </w:rPr>
        <w:t>Klamath Falls, OR 97601</w:t>
      </w:r>
    </w:p>
    <w:p w14:paraId="6D2701DA" w14:textId="77777777" w:rsidR="006A50BC" w:rsidRDefault="006A50BC" w:rsidP="006A50BC">
      <w:pPr>
        <w:pStyle w:val="xl21"/>
        <w:spacing w:before="0" w:beforeAutospacing="0" w:after="0" w:afterAutospacing="0"/>
        <w:ind w:right="12"/>
        <w:jc w:val="both"/>
        <w:rPr>
          <w:rFonts w:asciiTheme="minorHAnsi" w:hAnsiTheme="minorHAnsi" w:cs="Arial"/>
          <w:b w:val="0"/>
          <w:bCs w:val="0"/>
          <w:sz w:val="24"/>
          <w:szCs w:val="24"/>
        </w:rPr>
      </w:pPr>
    </w:p>
    <w:p w14:paraId="0C7EF272" w14:textId="77777777" w:rsidR="006A50BC" w:rsidRDefault="006A50BC" w:rsidP="006A50BC">
      <w:pPr>
        <w:pStyle w:val="xl21"/>
        <w:spacing w:before="0" w:beforeAutospacing="0" w:after="0" w:afterAutospacing="0"/>
        <w:ind w:right="12"/>
        <w:jc w:val="both"/>
        <w:rPr>
          <w:rFonts w:asciiTheme="minorHAnsi" w:hAnsiTheme="minorHAnsi" w:cs="Arial"/>
          <w:b w:val="0"/>
          <w:bCs w:val="0"/>
          <w:sz w:val="24"/>
          <w:szCs w:val="24"/>
        </w:rPr>
      </w:pPr>
    </w:p>
    <w:p w14:paraId="7D27C8C4" w14:textId="77777777" w:rsidR="000C7F77" w:rsidRDefault="000C7F77" w:rsidP="00F65320">
      <w:pPr>
        <w:pStyle w:val="xl21"/>
        <w:spacing w:before="0" w:beforeAutospacing="0" w:after="0" w:afterAutospacing="0"/>
        <w:ind w:right="12"/>
        <w:jc w:val="both"/>
        <w:rPr>
          <w:rFonts w:asciiTheme="minorHAnsi" w:hAnsiTheme="minorHAnsi" w:cs="Arial"/>
          <w:b w:val="0"/>
          <w:bCs w:val="0"/>
          <w:sz w:val="24"/>
          <w:szCs w:val="24"/>
        </w:rPr>
      </w:pPr>
      <w:bookmarkStart w:id="1" w:name="_Summary_of_Changes"/>
      <w:bookmarkEnd w:id="1"/>
    </w:p>
    <w:p w14:paraId="7A4E00BC" w14:textId="77777777" w:rsidR="000C7F77" w:rsidRDefault="000C7F77" w:rsidP="00F65320">
      <w:pPr>
        <w:pStyle w:val="xl21"/>
        <w:spacing w:before="0" w:beforeAutospacing="0" w:after="0" w:afterAutospacing="0"/>
        <w:ind w:right="12"/>
        <w:jc w:val="both"/>
        <w:rPr>
          <w:rFonts w:asciiTheme="minorHAnsi" w:hAnsiTheme="minorHAnsi" w:cs="Arial"/>
          <w:b w:val="0"/>
          <w:bCs w:val="0"/>
          <w:sz w:val="24"/>
          <w:szCs w:val="24"/>
        </w:rPr>
      </w:pPr>
    </w:p>
    <w:p w14:paraId="1D7F1E1E" w14:textId="77777777" w:rsidR="000C7F77" w:rsidRDefault="000C7F77" w:rsidP="00F65320">
      <w:pPr>
        <w:pStyle w:val="xl21"/>
        <w:spacing w:before="0" w:beforeAutospacing="0" w:after="0" w:afterAutospacing="0"/>
        <w:ind w:right="12"/>
        <w:jc w:val="both"/>
        <w:rPr>
          <w:rFonts w:asciiTheme="minorHAnsi" w:hAnsiTheme="minorHAnsi" w:cs="Arial"/>
          <w:b w:val="0"/>
          <w:bCs w:val="0"/>
          <w:sz w:val="24"/>
          <w:szCs w:val="24"/>
        </w:rPr>
      </w:pPr>
    </w:p>
    <w:p w14:paraId="30B31514" w14:textId="77777777" w:rsidR="000C7F77" w:rsidRDefault="000C7F77" w:rsidP="00F65320">
      <w:pPr>
        <w:pStyle w:val="xl21"/>
        <w:spacing w:before="0" w:beforeAutospacing="0" w:after="0" w:afterAutospacing="0"/>
        <w:ind w:right="12"/>
        <w:jc w:val="both"/>
        <w:rPr>
          <w:rFonts w:asciiTheme="minorHAnsi" w:hAnsiTheme="minorHAnsi" w:cs="Arial"/>
          <w:b w:val="0"/>
          <w:bCs w:val="0"/>
          <w:sz w:val="24"/>
          <w:szCs w:val="24"/>
        </w:rPr>
      </w:pPr>
    </w:p>
    <w:p w14:paraId="613C723C" w14:textId="77777777" w:rsidR="00FC09A1" w:rsidRDefault="00FC09A1" w:rsidP="00F65320">
      <w:pPr>
        <w:pStyle w:val="xl21"/>
        <w:spacing w:before="0" w:beforeAutospacing="0" w:after="0" w:afterAutospacing="0"/>
        <w:ind w:right="12"/>
        <w:jc w:val="both"/>
        <w:rPr>
          <w:rFonts w:asciiTheme="minorHAnsi" w:hAnsiTheme="minorHAnsi" w:cs="Arial"/>
          <w:b w:val="0"/>
          <w:bCs w:val="0"/>
          <w:sz w:val="24"/>
          <w:szCs w:val="24"/>
        </w:rPr>
      </w:pPr>
    </w:p>
    <w:p w14:paraId="66F75D0F" w14:textId="77777777" w:rsidR="00FC09A1" w:rsidRDefault="00FC09A1" w:rsidP="00F65320">
      <w:pPr>
        <w:pStyle w:val="xl21"/>
        <w:spacing w:before="0" w:beforeAutospacing="0" w:after="0" w:afterAutospacing="0"/>
        <w:ind w:right="12"/>
        <w:jc w:val="both"/>
        <w:rPr>
          <w:rFonts w:asciiTheme="minorHAnsi" w:hAnsiTheme="minorHAnsi" w:cs="Arial"/>
          <w:b w:val="0"/>
          <w:bCs w:val="0"/>
          <w:sz w:val="24"/>
          <w:szCs w:val="24"/>
        </w:rPr>
      </w:pPr>
    </w:p>
    <w:p w14:paraId="3AB9EC8E" w14:textId="77777777" w:rsidR="00CF1459" w:rsidRPr="00282BFE" w:rsidRDefault="00CF1459" w:rsidP="00F65320">
      <w:pPr>
        <w:pStyle w:val="xl21"/>
        <w:spacing w:before="0" w:beforeAutospacing="0" w:after="0" w:afterAutospacing="0"/>
        <w:ind w:right="12"/>
        <w:jc w:val="both"/>
        <w:rPr>
          <w:rFonts w:asciiTheme="minorHAnsi" w:hAnsiTheme="minorHAnsi" w:cs="Arial"/>
          <w:b w:val="0"/>
          <w:bCs w:val="0"/>
          <w:sz w:val="24"/>
          <w:szCs w:val="24"/>
        </w:rPr>
      </w:pPr>
    </w:p>
    <w:p w14:paraId="09B4D0D7" w14:textId="74FE6985" w:rsidR="00A07892" w:rsidRDefault="00E2566D" w:rsidP="000C7F77">
      <w:pPr>
        <w:pStyle w:val="xl21"/>
        <w:tabs>
          <w:tab w:val="left" w:pos="9822"/>
        </w:tabs>
        <w:spacing w:before="0" w:beforeAutospacing="0" w:after="0" w:afterAutospacing="0"/>
        <w:ind w:right="12"/>
        <w:jc w:val="center"/>
        <w:rPr>
          <w:rFonts w:asciiTheme="minorHAnsi" w:hAnsiTheme="minorHAnsi"/>
          <w:b w:val="0"/>
          <w:bCs w:val="0"/>
          <w:smallCaps/>
          <w:sz w:val="32"/>
          <w:lang w:val="x-none" w:eastAsia="x-none"/>
        </w:rPr>
      </w:pPr>
      <w:r>
        <w:rPr>
          <w:rFonts w:asciiTheme="minorHAnsi" w:hAnsiTheme="minorHAnsi" w:cs="Arial"/>
          <w:b w:val="0"/>
          <w:bCs w:val="0"/>
          <w:sz w:val="22"/>
          <w:szCs w:val="24"/>
        </w:rPr>
        <w:t>The Fees and Tuition were approved by</w:t>
      </w:r>
      <w:r w:rsidR="00BF7F07" w:rsidRPr="00997081">
        <w:rPr>
          <w:rFonts w:asciiTheme="minorHAnsi" w:hAnsiTheme="minorHAnsi" w:cs="Arial"/>
          <w:b w:val="0"/>
          <w:bCs w:val="0"/>
          <w:sz w:val="22"/>
          <w:szCs w:val="24"/>
        </w:rPr>
        <w:t xml:space="preserve"> </w:t>
      </w:r>
      <w:r w:rsidR="000C7F77">
        <w:rPr>
          <w:rFonts w:asciiTheme="minorHAnsi" w:hAnsiTheme="minorHAnsi" w:cs="Arial"/>
          <w:b w:val="0"/>
          <w:bCs w:val="0"/>
          <w:sz w:val="22"/>
          <w:szCs w:val="24"/>
        </w:rPr>
        <w:t>Oregon Tech</w:t>
      </w:r>
      <w:r w:rsidR="00BF7F07" w:rsidRPr="00997081">
        <w:rPr>
          <w:rFonts w:asciiTheme="minorHAnsi" w:hAnsiTheme="minorHAnsi" w:cs="Arial"/>
          <w:b w:val="0"/>
          <w:bCs w:val="0"/>
          <w:sz w:val="22"/>
          <w:szCs w:val="24"/>
        </w:rPr>
        <w:t xml:space="preserve"> Board of </w:t>
      </w:r>
      <w:r w:rsidR="000C7F77">
        <w:rPr>
          <w:rFonts w:asciiTheme="minorHAnsi" w:hAnsiTheme="minorHAnsi" w:cs="Arial"/>
          <w:b w:val="0"/>
          <w:bCs w:val="0"/>
          <w:sz w:val="22"/>
          <w:szCs w:val="24"/>
        </w:rPr>
        <w:t>Trustees</w:t>
      </w:r>
      <w:r w:rsidR="00BF7F07" w:rsidRPr="00997081">
        <w:rPr>
          <w:rFonts w:asciiTheme="minorHAnsi" w:hAnsiTheme="minorHAnsi" w:cs="Arial"/>
          <w:b w:val="0"/>
          <w:bCs w:val="0"/>
          <w:sz w:val="22"/>
          <w:szCs w:val="24"/>
        </w:rPr>
        <w:t xml:space="preserve"> at </w:t>
      </w:r>
      <w:r w:rsidR="00BF7F07" w:rsidRPr="00063085">
        <w:rPr>
          <w:rFonts w:asciiTheme="minorHAnsi" w:hAnsiTheme="minorHAnsi" w:cs="Arial"/>
          <w:b w:val="0"/>
          <w:bCs w:val="0"/>
          <w:sz w:val="22"/>
          <w:szCs w:val="24"/>
        </w:rPr>
        <w:t>the</w:t>
      </w:r>
      <w:r w:rsidR="00C04AC2" w:rsidRPr="00063085">
        <w:rPr>
          <w:rFonts w:asciiTheme="minorHAnsi" w:hAnsiTheme="minorHAnsi" w:cs="Arial"/>
          <w:b w:val="0"/>
          <w:bCs w:val="0"/>
          <w:sz w:val="22"/>
          <w:szCs w:val="24"/>
        </w:rPr>
        <w:t xml:space="preserve"> </w:t>
      </w:r>
      <w:r w:rsidR="001B3FE8">
        <w:rPr>
          <w:rFonts w:asciiTheme="minorHAnsi" w:hAnsiTheme="minorHAnsi" w:cs="Arial"/>
          <w:b w:val="0"/>
          <w:bCs w:val="0"/>
          <w:sz w:val="22"/>
          <w:szCs w:val="24"/>
        </w:rPr>
        <w:t>May 8, 2017</w:t>
      </w:r>
      <w:r w:rsidR="00F23B25" w:rsidRPr="00997081">
        <w:rPr>
          <w:rFonts w:asciiTheme="minorHAnsi" w:hAnsiTheme="minorHAnsi" w:cs="Arial"/>
          <w:b w:val="0"/>
          <w:bCs w:val="0"/>
          <w:sz w:val="22"/>
          <w:szCs w:val="24"/>
        </w:rPr>
        <w:t xml:space="preserve"> </w:t>
      </w:r>
      <w:r w:rsidR="00CF1459">
        <w:rPr>
          <w:rFonts w:asciiTheme="minorHAnsi" w:hAnsiTheme="minorHAnsi" w:cs="Arial"/>
          <w:b w:val="0"/>
          <w:bCs w:val="0"/>
          <w:sz w:val="22"/>
          <w:szCs w:val="24"/>
        </w:rPr>
        <w:t>meeting</w:t>
      </w:r>
      <w:r w:rsidR="000C7F77">
        <w:rPr>
          <w:rFonts w:asciiTheme="minorHAnsi" w:hAnsiTheme="minorHAnsi" w:cs="Arial"/>
          <w:b w:val="0"/>
          <w:bCs w:val="0"/>
          <w:sz w:val="22"/>
          <w:szCs w:val="24"/>
        </w:rPr>
        <w:t xml:space="preserve">. </w:t>
      </w:r>
      <w:r>
        <w:rPr>
          <w:rFonts w:asciiTheme="minorHAnsi" w:hAnsiTheme="minorHAnsi" w:cs="Arial"/>
          <w:b w:val="0"/>
          <w:bCs w:val="0"/>
          <w:sz w:val="22"/>
          <w:szCs w:val="24"/>
        </w:rPr>
        <w:t xml:space="preserve">However, the contents of the fee book were not approved by the Oregon Tech Board of Trustees. </w:t>
      </w:r>
      <w:r w:rsidR="000C7F77">
        <w:rPr>
          <w:rFonts w:asciiTheme="minorHAnsi" w:hAnsiTheme="minorHAnsi" w:cs="Arial"/>
          <w:b w:val="0"/>
          <w:bCs w:val="0"/>
          <w:sz w:val="22"/>
          <w:szCs w:val="24"/>
        </w:rPr>
        <w:t>A</w:t>
      </w:r>
      <w:r w:rsidR="00BF110B">
        <w:rPr>
          <w:rFonts w:asciiTheme="minorHAnsi" w:hAnsiTheme="minorHAnsi" w:cs="Arial"/>
          <w:b w:val="0"/>
          <w:bCs w:val="0"/>
          <w:sz w:val="22"/>
          <w:szCs w:val="24"/>
        </w:rPr>
        <w:t xml:space="preserve">ll </w:t>
      </w:r>
      <w:r w:rsidR="00C43903">
        <w:rPr>
          <w:rFonts w:asciiTheme="minorHAnsi" w:hAnsiTheme="minorHAnsi" w:cs="Arial"/>
          <w:b w:val="0"/>
          <w:bCs w:val="0"/>
          <w:sz w:val="22"/>
          <w:szCs w:val="24"/>
        </w:rPr>
        <w:t>prior Academic Year and Summer S</w:t>
      </w:r>
      <w:r w:rsidR="00BF110B">
        <w:rPr>
          <w:rFonts w:asciiTheme="minorHAnsi" w:hAnsiTheme="minorHAnsi" w:cs="Arial"/>
          <w:b w:val="0"/>
          <w:bCs w:val="0"/>
          <w:sz w:val="22"/>
          <w:szCs w:val="24"/>
        </w:rPr>
        <w:t xml:space="preserve">ession Fee Books are repealed </w:t>
      </w:r>
      <w:r w:rsidR="00BC06FC">
        <w:rPr>
          <w:rFonts w:asciiTheme="minorHAnsi" w:hAnsiTheme="minorHAnsi" w:cs="Arial"/>
          <w:b w:val="0"/>
          <w:bCs w:val="0"/>
          <w:sz w:val="22"/>
          <w:szCs w:val="24"/>
        </w:rPr>
        <w:t>except</w:t>
      </w:r>
      <w:r w:rsidR="00BF110B">
        <w:rPr>
          <w:rFonts w:asciiTheme="minorHAnsi" w:hAnsiTheme="minorHAnsi" w:cs="Arial"/>
          <w:b w:val="0"/>
          <w:bCs w:val="0"/>
          <w:sz w:val="22"/>
          <w:szCs w:val="24"/>
        </w:rPr>
        <w:t xml:space="preserve"> as to rights </w:t>
      </w:r>
      <w:r w:rsidR="00691BF1">
        <w:rPr>
          <w:rFonts w:asciiTheme="minorHAnsi" w:hAnsiTheme="minorHAnsi" w:cs="Arial"/>
          <w:b w:val="0"/>
          <w:bCs w:val="0"/>
          <w:sz w:val="22"/>
          <w:szCs w:val="24"/>
        </w:rPr>
        <w:t xml:space="preserve">and </w:t>
      </w:r>
      <w:r w:rsidR="00BF110B">
        <w:rPr>
          <w:rFonts w:asciiTheme="minorHAnsi" w:hAnsiTheme="minorHAnsi" w:cs="Arial"/>
          <w:b w:val="0"/>
          <w:bCs w:val="0"/>
          <w:sz w:val="22"/>
          <w:szCs w:val="24"/>
        </w:rPr>
        <w:t>obligations</w:t>
      </w:r>
      <w:r w:rsidR="00BC06FC">
        <w:rPr>
          <w:rFonts w:asciiTheme="minorHAnsi" w:hAnsiTheme="minorHAnsi" w:cs="Arial"/>
          <w:b w:val="0"/>
          <w:bCs w:val="0"/>
          <w:sz w:val="22"/>
          <w:szCs w:val="24"/>
        </w:rPr>
        <w:t xml:space="preserve"> </w:t>
      </w:r>
      <w:r w:rsidR="00BF110B">
        <w:rPr>
          <w:rFonts w:asciiTheme="minorHAnsi" w:hAnsiTheme="minorHAnsi" w:cs="Arial"/>
          <w:b w:val="0"/>
          <w:bCs w:val="0"/>
          <w:sz w:val="22"/>
          <w:szCs w:val="24"/>
        </w:rPr>
        <w:t>previously acquired or incurred thereunder</w:t>
      </w:r>
      <w:r w:rsidR="00BF7F07" w:rsidRPr="00997081">
        <w:rPr>
          <w:rFonts w:asciiTheme="minorHAnsi" w:hAnsiTheme="minorHAnsi" w:cs="Arial"/>
          <w:b w:val="0"/>
          <w:bCs w:val="0"/>
          <w:sz w:val="22"/>
          <w:szCs w:val="24"/>
        </w:rPr>
        <w:t>.</w:t>
      </w:r>
      <w:bookmarkStart w:id="2" w:name="_Toc291078500"/>
      <w:bookmarkStart w:id="3" w:name="_Toc291078940"/>
      <w:r w:rsidR="00A07892">
        <w:rPr>
          <w:rFonts w:asciiTheme="minorHAnsi" w:hAnsiTheme="minorHAnsi"/>
          <w:sz w:val="32"/>
        </w:rPr>
        <w:br w:type="page"/>
      </w:r>
    </w:p>
    <w:p w14:paraId="78BC85FE" w14:textId="77777777" w:rsidR="00EB06D9" w:rsidRPr="00DC105D" w:rsidRDefault="00EB06D9" w:rsidP="00EB06D9">
      <w:pPr>
        <w:pStyle w:val="Heading1"/>
        <w:spacing w:before="120" w:after="120"/>
        <w:rPr>
          <w:szCs w:val="36"/>
        </w:rPr>
      </w:pPr>
      <w:bookmarkStart w:id="4" w:name="_Introduction"/>
      <w:bookmarkStart w:id="5" w:name="Introduction_Authority_Delegation"/>
      <w:bookmarkStart w:id="6" w:name="_Toc322438392"/>
      <w:bookmarkStart w:id="7" w:name="_Toc322440178"/>
      <w:bookmarkStart w:id="8" w:name="_Toc322440261"/>
      <w:bookmarkStart w:id="9" w:name="OIT"/>
      <w:bookmarkEnd w:id="2"/>
      <w:bookmarkEnd w:id="3"/>
      <w:bookmarkEnd w:id="4"/>
      <w:bookmarkEnd w:id="5"/>
      <w:r>
        <w:rPr>
          <w:szCs w:val="36"/>
          <w:lang w:val="en-US"/>
        </w:rPr>
        <w:lastRenderedPageBreak/>
        <w:t>Introduction</w:t>
      </w:r>
    </w:p>
    <w:p w14:paraId="736D62D2" w14:textId="27E92706" w:rsidR="00EB06D9" w:rsidRDefault="00EB06D9" w:rsidP="00EB06D9">
      <w:pPr>
        <w:autoSpaceDE w:val="0"/>
        <w:autoSpaceDN w:val="0"/>
        <w:adjustRightInd w:val="0"/>
        <w:rPr>
          <w:rFonts w:asciiTheme="minorHAnsi" w:hAnsiTheme="minorHAnsi" w:cstheme="minorHAnsi"/>
          <w:color w:val="000000"/>
          <w:sz w:val="24"/>
        </w:rPr>
      </w:pPr>
      <w:r w:rsidRPr="00DC105D">
        <w:rPr>
          <w:rFonts w:asciiTheme="minorHAnsi" w:hAnsiTheme="minorHAnsi" w:cstheme="minorHAnsi"/>
          <w:color w:val="000000"/>
          <w:sz w:val="24"/>
        </w:rPr>
        <w:t>It is the</w:t>
      </w:r>
      <w:r w:rsidR="00E2566D">
        <w:rPr>
          <w:rFonts w:asciiTheme="minorHAnsi" w:hAnsiTheme="minorHAnsi" w:cstheme="minorHAnsi"/>
          <w:color w:val="000000"/>
          <w:sz w:val="24"/>
        </w:rPr>
        <w:t xml:space="preserve"> Board Policy on Tuition and Fee </w:t>
      </w:r>
      <w:r w:rsidR="00463F2D">
        <w:rPr>
          <w:rFonts w:asciiTheme="minorHAnsi" w:hAnsiTheme="minorHAnsi" w:cstheme="minorHAnsi"/>
          <w:color w:val="000000"/>
          <w:sz w:val="24"/>
        </w:rPr>
        <w:t>process</w:t>
      </w:r>
      <w:r w:rsidR="00463F2D" w:rsidRPr="00DC105D">
        <w:rPr>
          <w:rFonts w:asciiTheme="minorHAnsi" w:hAnsiTheme="minorHAnsi" w:cstheme="minorHAnsi"/>
          <w:color w:val="000000"/>
          <w:sz w:val="24"/>
        </w:rPr>
        <w:t xml:space="preserve"> of Oregon</w:t>
      </w:r>
      <w:r w:rsidRPr="00DC105D">
        <w:rPr>
          <w:rFonts w:asciiTheme="minorHAnsi" w:hAnsiTheme="minorHAnsi" w:cstheme="minorHAnsi"/>
          <w:color w:val="000000"/>
          <w:sz w:val="24"/>
        </w:rPr>
        <w:t xml:space="preserve"> Institute of </w:t>
      </w:r>
      <w:r w:rsidR="00463F2D" w:rsidRPr="00DC105D">
        <w:rPr>
          <w:rFonts w:asciiTheme="minorHAnsi" w:hAnsiTheme="minorHAnsi" w:cstheme="minorHAnsi"/>
          <w:color w:val="000000"/>
          <w:sz w:val="24"/>
        </w:rPr>
        <w:t>Technology that</w:t>
      </w:r>
      <w:r w:rsidRPr="00DC105D">
        <w:rPr>
          <w:rFonts w:asciiTheme="minorHAnsi" w:hAnsiTheme="minorHAnsi" w:cstheme="minorHAnsi"/>
          <w:color w:val="000000"/>
          <w:sz w:val="24"/>
        </w:rPr>
        <w:t xml:space="preserve"> tuition, fines, fees and other charges are to be developed, approved, issued and communicated in a consistent manner, with the engagement of appropriate University stakeholders. The purpose </w:t>
      </w:r>
      <w:r w:rsidR="00463F2D" w:rsidRPr="00DC105D">
        <w:rPr>
          <w:rFonts w:asciiTheme="minorHAnsi" w:hAnsiTheme="minorHAnsi" w:cstheme="minorHAnsi"/>
          <w:color w:val="000000"/>
          <w:sz w:val="24"/>
        </w:rPr>
        <w:t xml:space="preserve">of </w:t>
      </w:r>
      <w:r w:rsidR="00463F2D">
        <w:rPr>
          <w:rFonts w:asciiTheme="minorHAnsi" w:hAnsiTheme="minorHAnsi" w:cstheme="minorHAnsi"/>
          <w:color w:val="000000"/>
          <w:sz w:val="24"/>
        </w:rPr>
        <w:t>the</w:t>
      </w:r>
      <w:r w:rsidR="00E2566D">
        <w:rPr>
          <w:rFonts w:asciiTheme="minorHAnsi" w:hAnsiTheme="minorHAnsi" w:cstheme="minorHAnsi"/>
          <w:color w:val="000000"/>
          <w:sz w:val="24"/>
        </w:rPr>
        <w:t xml:space="preserve"> Board’s Tuition and Fee</w:t>
      </w:r>
      <w:r w:rsidRPr="00DC105D">
        <w:rPr>
          <w:rFonts w:asciiTheme="minorHAnsi" w:hAnsiTheme="minorHAnsi" w:cstheme="minorHAnsi"/>
          <w:color w:val="000000"/>
          <w:sz w:val="24"/>
        </w:rPr>
        <w:t xml:space="preserve"> </w:t>
      </w:r>
      <w:r w:rsidR="00E2566D">
        <w:rPr>
          <w:rFonts w:asciiTheme="minorHAnsi" w:hAnsiTheme="minorHAnsi" w:cstheme="minorHAnsi"/>
          <w:color w:val="000000"/>
          <w:sz w:val="24"/>
        </w:rPr>
        <w:t>P</w:t>
      </w:r>
      <w:r w:rsidRPr="00DC105D">
        <w:rPr>
          <w:rFonts w:asciiTheme="minorHAnsi" w:hAnsiTheme="minorHAnsi" w:cstheme="minorHAnsi"/>
          <w:color w:val="000000"/>
          <w:sz w:val="24"/>
        </w:rPr>
        <w:t>olicy is to outline and clarify the process for setting tuition, fines, fees and other charges at the University.</w:t>
      </w:r>
    </w:p>
    <w:p w14:paraId="467514BD" w14:textId="77777777" w:rsidR="00B251DD" w:rsidRDefault="00B251DD" w:rsidP="00EB06D9">
      <w:pPr>
        <w:autoSpaceDE w:val="0"/>
        <w:autoSpaceDN w:val="0"/>
        <w:adjustRightInd w:val="0"/>
        <w:rPr>
          <w:rFonts w:asciiTheme="minorHAnsi" w:hAnsiTheme="minorHAnsi" w:cstheme="minorHAnsi"/>
          <w:color w:val="000000"/>
          <w:sz w:val="24"/>
        </w:rPr>
      </w:pPr>
    </w:p>
    <w:p w14:paraId="14A979A5" w14:textId="77777777" w:rsidR="00B251DD" w:rsidRPr="00DC105D" w:rsidRDefault="00B251DD" w:rsidP="00EB06D9">
      <w:pPr>
        <w:autoSpaceDE w:val="0"/>
        <w:autoSpaceDN w:val="0"/>
        <w:adjustRightInd w:val="0"/>
        <w:rPr>
          <w:rFonts w:asciiTheme="minorHAnsi" w:hAnsiTheme="minorHAnsi" w:cstheme="minorHAnsi"/>
          <w:color w:val="000000"/>
          <w:sz w:val="24"/>
        </w:rPr>
      </w:pPr>
      <w:r>
        <w:rPr>
          <w:rFonts w:asciiTheme="minorHAnsi" w:hAnsiTheme="minorHAnsi" w:cstheme="minorHAnsi"/>
          <w:color w:val="000000"/>
          <w:sz w:val="24"/>
        </w:rPr>
        <w:t>This Fee Book contains policy statements and delegation of authority for a variety of University policies and fees and is published for public information.</w:t>
      </w:r>
    </w:p>
    <w:p w14:paraId="23FAD809" w14:textId="77777777" w:rsidR="00EB06D9" w:rsidRDefault="00EB06D9" w:rsidP="00EB06D9">
      <w:pPr>
        <w:pStyle w:val="BodyText"/>
        <w:spacing w:before="120"/>
        <w:ind w:right="14"/>
        <w:jc w:val="both"/>
        <w:rPr>
          <w:rFonts w:ascii="Calibri" w:hAnsi="Calibri" w:cs="Calibri"/>
          <w:color w:val="000000"/>
          <w:sz w:val="24"/>
          <w:szCs w:val="23"/>
        </w:rPr>
      </w:pPr>
      <w:r>
        <w:rPr>
          <w:rFonts w:asciiTheme="minorHAnsi" w:hAnsiTheme="minorHAnsi"/>
          <w:sz w:val="24"/>
        </w:rPr>
        <w:t>With the passage of Senate Bill (SB) 270 (2013) and effective July 1, 2015 Oregon Institute of Technology will set their own tuition and fee</w:t>
      </w:r>
      <w:r w:rsidRPr="00063085">
        <w:rPr>
          <w:rFonts w:asciiTheme="minorHAnsi" w:hAnsiTheme="minorHAnsi"/>
          <w:sz w:val="24"/>
        </w:rPr>
        <w:t xml:space="preserve"> rates under the governance of their own institutional boards</w:t>
      </w:r>
      <w:r>
        <w:rPr>
          <w:rFonts w:asciiTheme="minorHAnsi" w:hAnsiTheme="minorHAnsi"/>
          <w:sz w:val="24"/>
        </w:rPr>
        <w:t xml:space="preserve">. </w:t>
      </w:r>
    </w:p>
    <w:p w14:paraId="693EA6D6" w14:textId="4EDCF2B2" w:rsidR="00EB06D9" w:rsidRPr="00282BFE" w:rsidRDefault="00EB06D9" w:rsidP="00EB06D9">
      <w:pPr>
        <w:spacing w:before="120" w:after="120"/>
        <w:ind w:right="14"/>
        <w:jc w:val="both"/>
        <w:rPr>
          <w:rFonts w:asciiTheme="minorHAnsi" w:hAnsiTheme="minorHAnsi"/>
          <w:sz w:val="24"/>
        </w:rPr>
      </w:pPr>
      <w:bookmarkStart w:id="10" w:name="_Toc291078502"/>
      <w:bookmarkStart w:id="11" w:name="_Toc291078942"/>
      <w:bookmarkStart w:id="12" w:name="_Toc291079490"/>
      <w:bookmarkStart w:id="13" w:name="_Toc322438374"/>
      <w:bookmarkStart w:id="14" w:name="_Toc322440163"/>
      <w:bookmarkStart w:id="15" w:name="_Toc322440246"/>
      <w:bookmarkStart w:id="16" w:name="_Toc421521557"/>
      <w:r w:rsidRPr="00282BFE">
        <w:rPr>
          <w:rFonts w:asciiTheme="minorHAnsi" w:hAnsiTheme="minorHAnsi"/>
          <w:sz w:val="24"/>
        </w:rPr>
        <w:t xml:space="preserve">As part of the implementation of Senate Bill 242, passed in June 2011, each institution was required to establish a process which integrated student participation in the tuition-setting process in accordance with Board </w:t>
      </w:r>
      <w:r w:rsidR="00E2566D">
        <w:rPr>
          <w:rFonts w:asciiTheme="minorHAnsi" w:hAnsiTheme="minorHAnsi"/>
          <w:sz w:val="24"/>
        </w:rPr>
        <w:t>adopted processes.</w:t>
      </w:r>
      <w:r w:rsidRPr="00282BFE">
        <w:rPr>
          <w:rFonts w:asciiTheme="minorHAnsi" w:hAnsiTheme="minorHAnsi"/>
          <w:sz w:val="24"/>
        </w:rPr>
        <w:t xml:space="preserve"> </w:t>
      </w:r>
      <w:r>
        <w:rPr>
          <w:rFonts w:asciiTheme="minorHAnsi" w:hAnsiTheme="minorHAnsi"/>
          <w:sz w:val="24"/>
        </w:rPr>
        <w:t xml:space="preserve">Oregon Tech is in </w:t>
      </w:r>
      <w:r w:rsidRPr="00282BFE">
        <w:rPr>
          <w:rFonts w:asciiTheme="minorHAnsi" w:hAnsiTheme="minorHAnsi"/>
          <w:sz w:val="24"/>
        </w:rPr>
        <w:t>compliance with these guidelines</w:t>
      </w:r>
      <w:r>
        <w:rPr>
          <w:rFonts w:asciiTheme="minorHAnsi" w:hAnsiTheme="minorHAnsi"/>
          <w:sz w:val="24"/>
        </w:rPr>
        <w:t>.</w:t>
      </w:r>
      <w:r w:rsidRPr="00282BFE">
        <w:rPr>
          <w:rFonts w:asciiTheme="minorHAnsi" w:hAnsiTheme="minorHAnsi"/>
          <w:sz w:val="24"/>
        </w:rPr>
        <w:t xml:space="preserve"> </w:t>
      </w:r>
    </w:p>
    <w:p w14:paraId="23934A38" w14:textId="77777777" w:rsidR="00EB06D9" w:rsidRPr="00282BFE" w:rsidRDefault="00EB06D9" w:rsidP="00EB06D9">
      <w:pPr>
        <w:pStyle w:val="Heading1"/>
      </w:pPr>
      <w:r w:rsidRPr="00282BFE">
        <w:t>Delegation of Authority</w:t>
      </w:r>
      <w:bookmarkEnd w:id="10"/>
      <w:bookmarkEnd w:id="11"/>
      <w:bookmarkEnd w:id="12"/>
      <w:bookmarkEnd w:id="13"/>
      <w:bookmarkEnd w:id="14"/>
      <w:bookmarkEnd w:id="15"/>
      <w:bookmarkEnd w:id="16"/>
    </w:p>
    <w:p w14:paraId="6492FE17" w14:textId="7F4EEA22"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 xml:space="preserve">The Oregon Legislature grants authority to the </w:t>
      </w:r>
      <w:r>
        <w:rPr>
          <w:rFonts w:asciiTheme="minorHAnsi" w:hAnsiTheme="minorHAnsi"/>
          <w:sz w:val="24"/>
        </w:rPr>
        <w:t>Oregon Institute of Technology</w:t>
      </w:r>
      <w:r w:rsidRPr="00282BFE">
        <w:rPr>
          <w:rFonts w:asciiTheme="minorHAnsi" w:hAnsiTheme="minorHAnsi"/>
          <w:sz w:val="24"/>
        </w:rPr>
        <w:t xml:space="preserve"> </w:t>
      </w:r>
      <w:r>
        <w:rPr>
          <w:rFonts w:asciiTheme="minorHAnsi" w:hAnsiTheme="minorHAnsi"/>
          <w:sz w:val="24"/>
        </w:rPr>
        <w:t xml:space="preserve">Board </w:t>
      </w:r>
      <w:r w:rsidRPr="00282BFE">
        <w:rPr>
          <w:rFonts w:asciiTheme="minorHAnsi" w:hAnsiTheme="minorHAnsi"/>
          <w:sz w:val="24"/>
        </w:rPr>
        <w:t xml:space="preserve">to establish tuition and fees for enrollment at Oregon </w:t>
      </w:r>
      <w:r>
        <w:rPr>
          <w:rFonts w:asciiTheme="minorHAnsi" w:hAnsiTheme="minorHAnsi"/>
          <w:sz w:val="24"/>
        </w:rPr>
        <w:t>Tech</w:t>
      </w:r>
      <w:r w:rsidRPr="00282BFE">
        <w:rPr>
          <w:rFonts w:asciiTheme="minorHAnsi" w:hAnsiTheme="minorHAnsi"/>
          <w:sz w:val="24"/>
        </w:rPr>
        <w:t xml:space="preserve">. Based on recommendations from the </w:t>
      </w:r>
      <w:r>
        <w:rPr>
          <w:rFonts w:asciiTheme="minorHAnsi" w:hAnsiTheme="minorHAnsi"/>
          <w:sz w:val="24"/>
        </w:rPr>
        <w:t>Student Tuition Committee</w:t>
      </w:r>
      <w:r w:rsidR="005E155E">
        <w:rPr>
          <w:rFonts w:asciiTheme="minorHAnsi" w:hAnsiTheme="minorHAnsi"/>
          <w:sz w:val="24"/>
        </w:rPr>
        <w:t>, Tuition Recommendation Committee, Health Advisory Committee, Incidental Fee Committee,</w:t>
      </w:r>
      <w:r>
        <w:rPr>
          <w:rFonts w:asciiTheme="minorHAnsi" w:hAnsiTheme="minorHAnsi"/>
          <w:sz w:val="24"/>
        </w:rPr>
        <w:t xml:space="preserve"> and the President of the University, </w:t>
      </w:r>
      <w:r w:rsidRPr="00282BFE">
        <w:rPr>
          <w:rFonts w:asciiTheme="minorHAnsi" w:hAnsiTheme="minorHAnsi"/>
          <w:sz w:val="24"/>
        </w:rPr>
        <w:t>the Board annually sets fees for enrollment at the institution, including:</w:t>
      </w:r>
    </w:p>
    <w:p w14:paraId="762A9796" w14:textId="77777777" w:rsidR="00EB06D9" w:rsidRDefault="00EB06D9" w:rsidP="00EB06D9">
      <w:pPr>
        <w:numPr>
          <w:ilvl w:val="0"/>
          <w:numId w:val="1"/>
        </w:numPr>
        <w:ind w:right="12"/>
        <w:jc w:val="both"/>
        <w:rPr>
          <w:rFonts w:asciiTheme="minorHAnsi" w:hAnsiTheme="minorHAnsi"/>
          <w:sz w:val="24"/>
        </w:rPr>
      </w:pPr>
      <w:r w:rsidRPr="00282BFE">
        <w:rPr>
          <w:rFonts w:asciiTheme="minorHAnsi" w:hAnsiTheme="minorHAnsi"/>
          <w:sz w:val="24"/>
        </w:rPr>
        <w:t xml:space="preserve">Tuition </w:t>
      </w:r>
    </w:p>
    <w:p w14:paraId="1C4C0869" w14:textId="77777777" w:rsidR="00EB06D9" w:rsidRPr="00282BFE" w:rsidRDefault="00EB06D9" w:rsidP="00EB06D9">
      <w:pPr>
        <w:numPr>
          <w:ilvl w:val="0"/>
          <w:numId w:val="1"/>
        </w:numPr>
        <w:ind w:right="12"/>
        <w:jc w:val="both"/>
        <w:rPr>
          <w:rFonts w:asciiTheme="minorHAnsi" w:hAnsiTheme="minorHAnsi"/>
          <w:sz w:val="24"/>
        </w:rPr>
      </w:pPr>
      <w:r w:rsidRPr="00282BFE">
        <w:rPr>
          <w:rFonts w:asciiTheme="minorHAnsi" w:hAnsiTheme="minorHAnsi"/>
          <w:sz w:val="24"/>
        </w:rPr>
        <w:t>Building Fees</w:t>
      </w:r>
    </w:p>
    <w:p w14:paraId="2BEB74EB" w14:textId="77777777" w:rsidR="00EB06D9" w:rsidRDefault="00EB06D9" w:rsidP="00EB06D9">
      <w:pPr>
        <w:numPr>
          <w:ilvl w:val="0"/>
          <w:numId w:val="1"/>
        </w:numPr>
        <w:ind w:right="12"/>
        <w:jc w:val="both"/>
        <w:rPr>
          <w:rFonts w:asciiTheme="minorHAnsi" w:hAnsiTheme="minorHAnsi"/>
          <w:sz w:val="24"/>
        </w:rPr>
      </w:pPr>
      <w:r w:rsidRPr="00282BFE">
        <w:rPr>
          <w:rFonts w:asciiTheme="minorHAnsi" w:hAnsiTheme="minorHAnsi"/>
          <w:sz w:val="24"/>
        </w:rPr>
        <w:t>Health Service Fees</w:t>
      </w:r>
    </w:p>
    <w:p w14:paraId="797976F6" w14:textId="77777777" w:rsidR="00EB06D9" w:rsidRDefault="00EB06D9" w:rsidP="00EB06D9">
      <w:pPr>
        <w:numPr>
          <w:ilvl w:val="0"/>
          <w:numId w:val="1"/>
        </w:numPr>
        <w:ind w:right="12"/>
        <w:jc w:val="both"/>
        <w:rPr>
          <w:rFonts w:asciiTheme="minorHAnsi" w:hAnsiTheme="minorHAnsi"/>
          <w:sz w:val="24"/>
        </w:rPr>
      </w:pPr>
      <w:r w:rsidRPr="00282BFE">
        <w:rPr>
          <w:rFonts w:asciiTheme="minorHAnsi" w:hAnsiTheme="minorHAnsi"/>
          <w:sz w:val="24"/>
        </w:rPr>
        <w:t>Incidental Fees</w:t>
      </w:r>
    </w:p>
    <w:p w14:paraId="76C0D8C9" w14:textId="77777777" w:rsidR="00EB06D9" w:rsidRPr="00282BFE" w:rsidRDefault="00EB06D9" w:rsidP="00EB06D9">
      <w:pPr>
        <w:numPr>
          <w:ilvl w:val="0"/>
          <w:numId w:val="1"/>
        </w:numPr>
        <w:ind w:right="12"/>
        <w:jc w:val="both"/>
        <w:rPr>
          <w:rFonts w:asciiTheme="minorHAnsi" w:hAnsiTheme="minorHAnsi"/>
          <w:sz w:val="24"/>
        </w:rPr>
      </w:pPr>
      <w:r w:rsidRPr="00282BFE">
        <w:rPr>
          <w:rFonts w:asciiTheme="minorHAnsi" w:hAnsiTheme="minorHAnsi"/>
          <w:sz w:val="24"/>
        </w:rPr>
        <w:t>Other Mandatory Enrollment Fees</w:t>
      </w:r>
    </w:p>
    <w:p w14:paraId="5F497FEB" w14:textId="77777777" w:rsidR="00EB06D9" w:rsidRPr="00282BFE" w:rsidRDefault="00EB06D9" w:rsidP="00EB06D9">
      <w:pPr>
        <w:numPr>
          <w:ilvl w:val="0"/>
          <w:numId w:val="1"/>
        </w:numPr>
        <w:ind w:right="12"/>
        <w:jc w:val="both"/>
        <w:rPr>
          <w:rFonts w:asciiTheme="minorHAnsi" w:hAnsiTheme="minorHAnsi"/>
          <w:sz w:val="24"/>
        </w:rPr>
      </w:pPr>
      <w:r w:rsidRPr="00282BFE">
        <w:rPr>
          <w:rFonts w:asciiTheme="minorHAnsi" w:hAnsiTheme="minorHAnsi"/>
          <w:sz w:val="24"/>
        </w:rPr>
        <w:t>Other Special Fees as determined by the Board</w:t>
      </w:r>
    </w:p>
    <w:p w14:paraId="21BD3F9A" w14:textId="77777777"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The Board</w:t>
      </w:r>
      <w:r>
        <w:rPr>
          <w:rFonts w:asciiTheme="minorHAnsi" w:hAnsiTheme="minorHAnsi"/>
          <w:sz w:val="24"/>
        </w:rPr>
        <w:t xml:space="preserve"> has delegated authority to the P</w:t>
      </w:r>
      <w:r w:rsidRPr="00282BFE">
        <w:rPr>
          <w:rFonts w:asciiTheme="minorHAnsi" w:hAnsiTheme="minorHAnsi"/>
          <w:sz w:val="24"/>
        </w:rPr>
        <w:t>residents to establish certain fees, fines, and charges for services and materials, including:</w:t>
      </w:r>
    </w:p>
    <w:p w14:paraId="743DB9A1"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Laboratory and Course fees</w:t>
      </w:r>
    </w:p>
    <w:p w14:paraId="7F0748A6"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 xml:space="preserve">Fees for workshops </w:t>
      </w:r>
    </w:p>
    <w:p w14:paraId="557B0F8D"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 xml:space="preserve">Instruction fees for Continuing Education, Extended Programs, and Distance Education </w:t>
      </w:r>
    </w:p>
    <w:p w14:paraId="6D1068D0"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Residence Hall Room and Board Rates</w:t>
      </w:r>
    </w:p>
    <w:p w14:paraId="2991F68A"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Charges for auxiliary services, e.g., food services, student centers, and parking</w:t>
      </w:r>
    </w:p>
    <w:p w14:paraId="5FABD317"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Fines for violation of campus regulations</w:t>
      </w:r>
    </w:p>
    <w:p w14:paraId="5DCDF3B8"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 xml:space="preserve">Charges for facilities use </w:t>
      </w:r>
    </w:p>
    <w:p w14:paraId="410BB5EE" w14:textId="77777777" w:rsidR="00EB06D9" w:rsidRPr="00282BFE" w:rsidRDefault="00EB06D9" w:rsidP="00EB06D9">
      <w:pPr>
        <w:numPr>
          <w:ilvl w:val="0"/>
          <w:numId w:val="2"/>
        </w:numPr>
        <w:ind w:right="12"/>
        <w:jc w:val="both"/>
        <w:rPr>
          <w:rFonts w:asciiTheme="minorHAnsi" w:hAnsiTheme="minorHAnsi"/>
          <w:sz w:val="24"/>
        </w:rPr>
      </w:pPr>
      <w:r w:rsidRPr="00282BFE">
        <w:rPr>
          <w:rFonts w:asciiTheme="minorHAnsi" w:hAnsiTheme="minorHAnsi"/>
          <w:sz w:val="24"/>
        </w:rPr>
        <w:t>Charges for other materials and services</w:t>
      </w:r>
    </w:p>
    <w:p w14:paraId="794F4E5D" w14:textId="57697639" w:rsidR="00EB06D9" w:rsidRPr="00282BFE" w:rsidRDefault="00EB06D9" w:rsidP="00EB06D9">
      <w:pPr>
        <w:spacing w:before="120"/>
        <w:ind w:right="14"/>
        <w:jc w:val="both"/>
        <w:rPr>
          <w:rFonts w:asciiTheme="minorHAnsi" w:hAnsiTheme="minorHAnsi"/>
          <w:sz w:val="24"/>
        </w:rPr>
      </w:pPr>
      <w:r w:rsidRPr="00282BFE">
        <w:rPr>
          <w:rFonts w:asciiTheme="minorHAnsi" w:hAnsiTheme="minorHAnsi"/>
          <w:sz w:val="24"/>
        </w:rPr>
        <w:t xml:space="preserve">The schedule of charges </w:t>
      </w:r>
      <w:r w:rsidR="005E155E">
        <w:rPr>
          <w:rFonts w:asciiTheme="minorHAnsi" w:hAnsiTheme="minorHAnsi"/>
          <w:sz w:val="24"/>
        </w:rPr>
        <w:t>is</w:t>
      </w:r>
      <w:r w:rsidRPr="00282BFE">
        <w:rPr>
          <w:rFonts w:asciiTheme="minorHAnsi" w:hAnsiTheme="minorHAnsi"/>
          <w:sz w:val="24"/>
        </w:rPr>
        <w:t xml:space="preserve"> on file in the business office of the institution and also filed with the Vice </w:t>
      </w:r>
      <w:r>
        <w:rPr>
          <w:rFonts w:asciiTheme="minorHAnsi" w:hAnsiTheme="minorHAnsi"/>
          <w:sz w:val="24"/>
        </w:rPr>
        <w:t>P</w:t>
      </w:r>
      <w:r w:rsidRPr="00282BFE">
        <w:rPr>
          <w:rFonts w:asciiTheme="minorHAnsi" w:hAnsiTheme="minorHAnsi"/>
          <w:sz w:val="24"/>
        </w:rPr>
        <w:t>r</w:t>
      </w:r>
      <w:r>
        <w:rPr>
          <w:rFonts w:asciiTheme="minorHAnsi" w:hAnsiTheme="minorHAnsi"/>
          <w:sz w:val="24"/>
        </w:rPr>
        <w:t>esident</w:t>
      </w:r>
      <w:r w:rsidRPr="00282BFE">
        <w:rPr>
          <w:rFonts w:asciiTheme="minorHAnsi" w:hAnsiTheme="minorHAnsi"/>
          <w:sz w:val="24"/>
        </w:rPr>
        <w:t xml:space="preserve"> </w:t>
      </w:r>
      <w:r>
        <w:rPr>
          <w:rFonts w:asciiTheme="minorHAnsi" w:hAnsiTheme="minorHAnsi"/>
          <w:sz w:val="24"/>
        </w:rPr>
        <w:t>of</w:t>
      </w:r>
      <w:r w:rsidRPr="00282BFE">
        <w:rPr>
          <w:rFonts w:asciiTheme="minorHAnsi" w:hAnsiTheme="minorHAnsi"/>
          <w:sz w:val="24"/>
        </w:rPr>
        <w:t xml:space="preserve"> Finance and Administration. Income from such services must be reflected in the institution budget.</w:t>
      </w:r>
    </w:p>
    <w:p w14:paraId="727E3CFE" w14:textId="1B6DDBE8" w:rsidR="00EB06D9" w:rsidRDefault="002D6E45" w:rsidP="00EB06D9">
      <w:pPr>
        <w:spacing w:before="120" w:after="240"/>
        <w:ind w:right="14"/>
        <w:jc w:val="both"/>
        <w:rPr>
          <w:rFonts w:asciiTheme="minorHAnsi" w:hAnsiTheme="minorHAnsi" w:cs="Times New Roman"/>
          <w:sz w:val="24"/>
          <w:szCs w:val="23"/>
        </w:rPr>
      </w:pPr>
      <w:bookmarkStart w:id="17" w:name="_Summary_of_Changes_1"/>
      <w:bookmarkStart w:id="18" w:name="_Programmatic_Resource_Fee"/>
      <w:bookmarkStart w:id="19" w:name="Summary_Changes"/>
      <w:bookmarkEnd w:id="17"/>
      <w:bookmarkEnd w:id="18"/>
      <w:bookmarkEnd w:id="19"/>
      <w:r>
        <w:rPr>
          <w:rFonts w:asciiTheme="minorHAnsi" w:hAnsiTheme="minorHAnsi" w:cs="Times New Roman"/>
          <w:sz w:val="24"/>
          <w:szCs w:val="23"/>
        </w:rPr>
        <w:t>As</w:t>
      </w:r>
      <w:r w:rsidR="00EB06D9">
        <w:rPr>
          <w:rFonts w:asciiTheme="minorHAnsi" w:hAnsiTheme="minorHAnsi" w:cs="Times New Roman"/>
          <w:sz w:val="24"/>
          <w:szCs w:val="23"/>
        </w:rPr>
        <w:t xml:space="preserve"> amended by SB 270 (2013), the Board may not increase the total amount of enrollment fees paid by undergraduate resident students by more than five percent annually unless the Board first receives approval from the Higher Education Coordinating Commission (HECC) or the Legislative Assembly.  Oregon Tech and the Board have complied with this requirement.</w:t>
      </w:r>
    </w:p>
    <w:p w14:paraId="6FF6DC2C" w14:textId="77777777" w:rsidR="00EB06D9" w:rsidRPr="00103B9D" w:rsidRDefault="00EB06D9" w:rsidP="00EB06D9">
      <w:pPr>
        <w:spacing w:before="120" w:after="240"/>
        <w:ind w:right="14"/>
        <w:jc w:val="both"/>
        <w:rPr>
          <w:rFonts w:asciiTheme="minorHAnsi" w:hAnsiTheme="minorHAnsi" w:cs="Times New Roman"/>
          <w:sz w:val="24"/>
          <w:szCs w:val="23"/>
        </w:rPr>
      </w:pPr>
    </w:p>
    <w:p w14:paraId="6C698695" w14:textId="77777777" w:rsidR="00EB06D9" w:rsidRDefault="00EB06D9" w:rsidP="00EB06D9">
      <w:pPr>
        <w:jc w:val="center"/>
        <w:rPr>
          <w:rFonts w:asciiTheme="minorHAnsi" w:hAnsiTheme="minorHAnsi"/>
          <w:sz w:val="24"/>
        </w:rPr>
      </w:pPr>
      <w:bookmarkStart w:id="20" w:name="_Toc291078508"/>
      <w:bookmarkStart w:id="21" w:name="_Toc291078948"/>
      <w:bookmarkStart w:id="22" w:name="_Toc291079496"/>
      <w:bookmarkStart w:id="23" w:name="_Toc322438379"/>
      <w:bookmarkStart w:id="24" w:name="_Toc322440166"/>
      <w:bookmarkStart w:id="25" w:name="_Toc322440249"/>
    </w:p>
    <w:p w14:paraId="275CF30C" w14:textId="609A142B" w:rsidR="00EB06D9" w:rsidRPr="00F959ED" w:rsidRDefault="00EB06D9" w:rsidP="00EB06D9">
      <w:pPr>
        <w:shd w:val="clear" w:color="auto" w:fill="DBE5F1" w:themeFill="accent1" w:themeFillTint="33"/>
        <w:jc w:val="center"/>
        <w:rPr>
          <w:rFonts w:asciiTheme="minorHAnsi" w:hAnsiTheme="minorHAnsi"/>
          <w:b/>
          <w:sz w:val="32"/>
        </w:rPr>
      </w:pPr>
      <w:r w:rsidRPr="00F959ED">
        <w:rPr>
          <w:rFonts w:asciiTheme="minorHAnsi" w:hAnsiTheme="minorHAnsi"/>
          <w:b/>
          <w:sz w:val="32"/>
        </w:rPr>
        <w:t xml:space="preserve">Tuition and Fee Policies for </w:t>
      </w:r>
      <w:bookmarkEnd w:id="20"/>
      <w:bookmarkEnd w:id="21"/>
      <w:bookmarkEnd w:id="22"/>
      <w:bookmarkEnd w:id="23"/>
      <w:bookmarkEnd w:id="24"/>
      <w:bookmarkEnd w:id="25"/>
      <w:r w:rsidR="002F7BEC">
        <w:rPr>
          <w:rFonts w:asciiTheme="minorHAnsi" w:hAnsiTheme="minorHAnsi"/>
          <w:b/>
          <w:sz w:val="32"/>
        </w:rPr>
        <w:t>2017-18</w:t>
      </w:r>
    </w:p>
    <w:p w14:paraId="33E4E302" w14:textId="77777777" w:rsidR="00EB06D9" w:rsidRPr="002A0AD3" w:rsidRDefault="00EB06D9" w:rsidP="00EB06D9">
      <w:pPr>
        <w:pStyle w:val="Heading1"/>
        <w:spacing w:after="240"/>
        <w:rPr>
          <w:smallCaps w:val="0"/>
        </w:rPr>
      </w:pPr>
      <w:bookmarkStart w:id="26" w:name="_Toc421521562"/>
      <w:r w:rsidRPr="002A0AD3">
        <w:rPr>
          <w:smallCaps w:val="0"/>
        </w:rPr>
        <w:t>Tuition Structure and Assessment</w:t>
      </w:r>
      <w:bookmarkEnd w:id="26"/>
    </w:p>
    <w:p w14:paraId="6EE5A0C9" w14:textId="57025B03"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Tuition rates for students admitted to academic programs are established via student classification (</w:t>
      </w:r>
      <w:r>
        <w:rPr>
          <w:rFonts w:asciiTheme="minorHAnsi" w:hAnsiTheme="minorHAnsi"/>
          <w:sz w:val="24"/>
        </w:rPr>
        <w:t xml:space="preserve">undergraduate and </w:t>
      </w:r>
      <w:r w:rsidRPr="00282BFE">
        <w:rPr>
          <w:rFonts w:asciiTheme="minorHAnsi" w:hAnsiTheme="minorHAnsi"/>
          <w:sz w:val="24"/>
        </w:rPr>
        <w:t>graduate), residency, and credit hours taken. Tuition revenue supports all facets of the university operations including the instructional and administrative costs</w:t>
      </w:r>
      <w:r>
        <w:rPr>
          <w:rFonts w:asciiTheme="minorHAnsi" w:hAnsiTheme="minorHAnsi"/>
          <w:sz w:val="24"/>
        </w:rPr>
        <w:t xml:space="preserve"> of</w:t>
      </w:r>
      <w:r w:rsidRPr="00282BFE">
        <w:rPr>
          <w:rFonts w:asciiTheme="minorHAnsi" w:hAnsiTheme="minorHAnsi"/>
          <w:sz w:val="24"/>
        </w:rPr>
        <w:t xml:space="preserve"> </w:t>
      </w:r>
      <w:r>
        <w:rPr>
          <w:rFonts w:asciiTheme="minorHAnsi" w:hAnsiTheme="minorHAnsi"/>
          <w:sz w:val="24"/>
        </w:rPr>
        <w:t>the</w:t>
      </w:r>
      <w:r w:rsidRPr="00282BFE">
        <w:rPr>
          <w:rFonts w:asciiTheme="minorHAnsi" w:hAnsiTheme="minorHAnsi"/>
          <w:sz w:val="24"/>
        </w:rPr>
        <w:t xml:space="preserve"> institution and varies based on factors including class sizes, faculty salaries, specialized programs and equipment as well as facilities required to teach courses. Nonresident students should pay a larger share of instructional costs than resident students when the market allows and, on average, cover the full cost of instruction. Nonresident rates should be competitive with those charged at peer institutions and be sensitive to the institutional nonresident enrollment trends and objectives.</w:t>
      </w:r>
    </w:p>
    <w:p w14:paraId="7A562FC9" w14:textId="77777777" w:rsidR="00EB06D9" w:rsidRPr="00282BFE" w:rsidRDefault="00EB06D9" w:rsidP="00EB06D9">
      <w:pPr>
        <w:tabs>
          <w:tab w:val="left" w:pos="90"/>
          <w:tab w:val="left" w:pos="522"/>
          <w:tab w:val="left" w:pos="954"/>
          <w:tab w:val="left" w:pos="1386"/>
          <w:tab w:val="left" w:pos="1818"/>
          <w:tab w:val="left" w:pos="2250"/>
          <w:tab w:val="left" w:pos="2682"/>
          <w:tab w:val="left" w:pos="3114"/>
          <w:tab w:val="left" w:pos="3546"/>
          <w:tab w:val="left" w:pos="3978"/>
          <w:tab w:val="left" w:pos="4410"/>
          <w:tab w:val="left" w:pos="4842"/>
          <w:tab w:val="left" w:pos="5274"/>
          <w:tab w:val="left" w:pos="5706"/>
          <w:tab w:val="left" w:pos="6138"/>
          <w:tab w:val="left" w:pos="6570"/>
          <w:tab w:val="left" w:pos="7002"/>
          <w:tab w:val="left" w:pos="7434"/>
          <w:tab w:val="left" w:pos="7866"/>
          <w:tab w:val="left" w:pos="8298"/>
          <w:tab w:val="left" w:pos="8730"/>
          <w:tab w:val="left" w:pos="9162"/>
          <w:tab w:val="left" w:pos="9594"/>
          <w:tab w:val="left" w:pos="10026"/>
          <w:tab w:val="left" w:pos="10458"/>
          <w:tab w:val="left" w:pos="10890"/>
          <w:tab w:val="left" w:pos="11322"/>
          <w:tab w:val="left" w:pos="11754"/>
          <w:tab w:val="left" w:pos="12186"/>
          <w:tab w:val="left" w:pos="12618"/>
          <w:tab w:val="left" w:pos="13050"/>
          <w:tab w:val="left" w:pos="13482"/>
          <w:tab w:val="left" w:pos="13914"/>
          <w:tab w:val="left" w:pos="14346"/>
          <w:tab w:val="left" w:pos="14778"/>
          <w:tab w:val="left" w:pos="15210"/>
          <w:tab w:val="left" w:pos="15642"/>
          <w:tab w:val="left" w:pos="16074"/>
          <w:tab w:val="left" w:pos="16506"/>
          <w:tab w:val="left" w:pos="16938"/>
        </w:tabs>
        <w:spacing w:before="120" w:after="120"/>
        <w:ind w:right="14"/>
        <w:jc w:val="both"/>
        <w:rPr>
          <w:rFonts w:asciiTheme="minorHAnsi" w:hAnsiTheme="minorHAnsi"/>
          <w:spacing w:val="-3"/>
          <w:sz w:val="24"/>
        </w:rPr>
      </w:pPr>
      <w:r w:rsidRPr="00282BFE">
        <w:rPr>
          <w:rFonts w:asciiTheme="minorHAnsi" w:hAnsiTheme="minorHAnsi"/>
          <w:spacing w:val="-3"/>
          <w:sz w:val="24"/>
        </w:rPr>
        <w:t xml:space="preserve">There are three basic tuition and fee structures at </w:t>
      </w:r>
      <w:r>
        <w:rPr>
          <w:rFonts w:asciiTheme="minorHAnsi" w:hAnsiTheme="minorHAnsi"/>
          <w:spacing w:val="-3"/>
          <w:sz w:val="24"/>
        </w:rPr>
        <w:t>Oregon Tech</w:t>
      </w:r>
      <w:r w:rsidRPr="00282BFE">
        <w:rPr>
          <w:rFonts w:asciiTheme="minorHAnsi" w:hAnsiTheme="minorHAnsi"/>
          <w:spacing w:val="-3"/>
          <w:sz w:val="24"/>
        </w:rPr>
        <w:t>: the regular academic year, summer session, and continuing education programs. Under existing policy, each of the three tuition structures is separate</w:t>
      </w:r>
      <w:r>
        <w:rPr>
          <w:rFonts w:asciiTheme="minorHAnsi" w:hAnsiTheme="minorHAnsi"/>
          <w:spacing w:val="-3"/>
          <w:sz w:val="24"/>
        </w:rPr>
        <w:t>,</w:t>
      </w:r>
      <w:r w:rsidRPr="00282BFE">
        <w:rPr>
          <w:rFonts w:asciiTheme="minorHAnsi" w:hAnsiTheme="minorHAnsi"/>
          <w:spacing w:val="-3"/>
          <w:sz w:val="24"/>
        </w:rPr>
        <w:t xml:space="preserve"> with its own unique rate setting process. The Academic Year and Summer Session tuition and fees are set by the Board and Continuing Education rates are set by the </w:t>
      </w:r>
      <w:r>
        <w:rPr>
          <w:rFonts w:asciiTheme="minorHAnsi" w:hAnsiTheme="minorHAnsi"/>
          <w:spacing w:val="-3"/>
          <w:sz w:val="24"/>
        </w:rPr>
        <w:t>President</w:t>
      </w:r>
      <w:r w:rsidRPr="00282BFE">
        <w:rPr>
          <w:rFonts w:asciiTheme="minorHAnsi" w:hAnsiTheme="minorHAnsi"/>
          <w:spacing w:val="-3"/>
          <w:sz w:val="24"/>
        </w:rPr>
        <w:t>.</w:t>
      </w:r>
    </w:p>
    <w:p w14:paraId="57741A18" w14:textId="77777777" w:rsidR="00EB06D9" w:rsidRPr="00282BFE" w:rsidRDefault="00EB06D9" w:rsidP="00EB06D9">
      <w:pPr>
        <w:spacing w:before="120" w:after="120"/>
        <w:ind w:right="14"/>
        <w:jc w:val="both"/>
        <w:rPr>
          <w:rFonts w:asciiTheme="minorHAnsi" w:hAnsiTheme="minorHAnsi"/>
          <w:i/>
          <w:spacing w:val="-3"/>
          <w:sz w:val="24"/>
        </w:rPr>
      </w:pPr>
      <w:r w:rsidRPr="00282BFE">
        <w:rPr>
          <w:rFonts w:asciiTheme="minorHAnsi" w:hAnsiTheme="minorHAnsi"/>
          <w:i/>
          <w:spacing w:val="-3"/>
          <w:sz w:val="24"/>
        </w:rPr>
        <w:t>Academic Year:</w:t>
      </w:r>
    </w:p>
    <w:p w14:paraId="1C19F019" w14:textId="77777777" w:rsidR="00EB06D9" w:rsidRPr="00282BFE" w:rsidRDefault="00EB06D9" w:rsidP="00EB06D9">
      <w:pPr>
        <w:numPr>
          <w:ilvl w:val="0"/>
          <w:numId w:val="3"/>
        </w:numPr>
        <w:spacing w:before="120" w:after="120"/>
        <w:ind w:right="14"/>
        <w:jc w:val="both"/>
        <w:rPr>
          <w:rFonts w:asciiTheme="minorHAnsi" w:hAnsiTheme="minorHAnsi"/>
          <w:sz w:val="24"/>
        </w:rPr>
      </w:pPr>
      <w:r w:rsidRPr="00282BFE">
        <w:rPr>
          <w:rFonts w:asciiTheme="minorHAnsi" w:hAnsiTheme="minorHAnsi"/>
          <w:spacing w:val="-3"/>
          <w:sz w:val="24"/>
        </w:rPr>
        <w:t xml:space="preserve">Charges assessed to students during the academic year are comprised of Tuition, Mandatory Enrollment Fees, One-time Fees, and Other Student Fees. The revenue generated by each component is dedicated to a specific purpose, independent of the other components. Enrollments during the academic year are usually referred to as “in-load” enrollments. </w:t>
      </w:r>
    </w:p>
    <w:p w14:paraId="2A1CBFB5" w14:textId="77777777" w:rsidR="00EB06D9" w:rsidRPr="00282BFE" w:rsidRDefault="00EB06D9" w:rsidP="00EB06D9">
      <w:pPr>
        <w:spacing w:before="120" w:after="120"/>
        <w:ind w:right="14"/>
        <w:jc w:val="both"/>
        <w:rPr>
          <w:rFonts w:asciiTheme="minorHAnsi" w:hAnsiTheme="minorHAnsi"/>
          <w:i/>
          <w:sz w:val="24"/>
        </w:rPr>
      </w:pPr>
      <w:r w:rsidRPr="00282BFE">
        <w:rPr>
          <w:rFonts w:asciiTheme="minorHAnsi" w:hAnsiTheme="minorHAnsi"/>
          <w:i/>
          <w:sz w:val="24"/>
        </w:rPr>
        <w:t xml:space="preserve">Summer Session: </w:t>
      </w:r>
    </w:p>
    <w:p w14:paraId="2BF34751" w14:textId="77777777" w:rsidR="00EB06D9" w:rsidRPr="00282BFE" w:rsidRDefault="00EB06D9" w:rsidP="00EB06D9">
      <w:pPr>
        <w:numPr>
          <w:ilvl w:val="0"/>
          <w:numId w:val="3"/>
        </w:numPr>
        <w:spacing w:before="120" w:after="120"/>
        <w:ind w:right="14"/>
        <w:jc w:val="both"/>
        <w:rPr>
          <w:rFonts w:asciiTheme="minorHAnsi" w:hAnsiTheme="minorHAnsi"/>
          <w:spacing w:val="-3"/>
          <w:sz w:val="24"/>
        </w:rPr>
      </w:pPr>
      <w:r w:rsidRPr="00282BFE">
        <w:rPr>
          <w:rFonts w:asciiTheme="minorHAnsi" w:hAnsiTheme="minorHAnsi"/>
          <w:spacing w:val="-3"/>
          <w:sz w:val="24"/>
        </w:rPr>
        <w:t xml:space="preserve">As with the academic year, tuition supports the direct instruction and administrative costs of each institution’s summer session programs. </w:t>
      </w:r>
      <w:r w:rsidRPr="00282BFE">
        <w:rPr>
          <w:rFonts w:asciiTheme="minorHAnsi" w:hAnsiTheme="minorHAnsi"/>
          <w:sz w:val="24"/>
        </w:rPr>
        <w:t xml:space="preserve">For summer session programs, tuition may be assessed on a per-credit hour basis or aligned to the preceding academic year’s structure. </w:t>
      </w:r>
      <w:r w:rsidRPr="00282BFE">
        <w:rPr>
          <w:rFonts w:asciiTheme="minorHAnsi" w:hAnsiTheme="minorHAnsi"/>
          <w:spacing w:val="-3"/>
          <w:sz w:val="24"/>
        </w:rPr>
        <w:t xml:space="preserve">Institutions are not required to make a residency determination for summer term but may choose to do so. Tuition rates in the summer session may differ from the academic year and may or may not vary based on residency status. </w:t>
      </w:r>
    </w:p>
    <w:p w14:paraId="2F03A99F" w14:textId="77777777" w:rsidR="00EB06D9" w:rsidRPr="00282BFE" w:rsidRDefault="00EB06D9" w:rsidP="00EB06D9">
      <w:pPr>
        <w:spacing w:before="120" w:after="120"/>
        <w:ind w:right="14"/>
        <w:jc w:val="both"/>
        <w:rPr>
          <w:rFonts w:asciiTheme="minorHAnsi" w:hAnsiTheme="minorHAnsi"/>
          <w:i/>
          <w:iCs/>
          <w:sz w:val="24"/>
        </w:rPr>
      </w:pPr>
      <w:r w:rsidRPr="00282BFE">
        <w:rPr>
          <w:rFonts w:asciiTheme="minorHAnsi" w:hAnsiTheme="minorHAnsi"/>
          <w:i/>
          <w:iCs/>
          <w:sz w:val="24"/>
        </w:rPr>
        <w:t>Continuing Education:</w:t>
      </w:r>
    </w:p>
    <w:p w14:paraId="3A8EFF45" w14:textId="55F3FE06" w:rsidR="00EB06D9" w:rsidRDefault="00EB06D9" w:rsidP="00EB06D9">
      <w:pPr>
        <w:numPr>
          <w:ilvl w:val="0"/>
          <w:numId w:val="3"/>
        </w:numPr>
        <w:spacing w:before="120" w:after="120"/>
        <w:ind w:right="14"/>
        <w:jc w:val="both"/>
        <w:rPr>
          <w:rFonts w:asciiTheme="minorHAnsi" w:hAnsiTheme="minorHAnsi"/>
          <w:sz w:val="24"/>
        </w:rPr>
      </w:pPr>
      <w:r w:rsidRPr="00282BFE">
        <w:rPr>
          <w:rFonts w:asciiTheme="minorHAnsi" w:hAnsiTheme="minorHAnsi"/>
          <w:sz w:val="24"/>
        </w:rPr>
        <w:t>Continuing Education, Extended Programs, and most Distance Education courses fall within the category previously referred to as self-support. Continuing Education courses are offered through special campus programs not generally available during the academic year or summer session. Tuition and fees for Continuing Education are assessed regardless of residency or course load. Rates are set at levels necessary to cover (at a minimum) the direct costs of providing the course plus an indirect cost recovery for administrative overhead costs. Tuition and fees are charged to participating students apart from enrollment fees paid for other courses. Assessment of Resource Fees for Continuing Education courses is an institutional decision.</w:t>
      </w:r>
    </w:p>
    <w:p w14:paraId="608A2F94" w14:textId="40AD8932" w:rsidR="001D4F3A" w:rsidRDefault="001D4F3A" w:rsidP="001D4F3A">
      <w:pPr>
        <w:spacing w:before="120" w:after="120"/>
        <w:ind w:right="14"/>
        <w:jc w:val="both"/>
        <w:rPr>
          <w:rFonts w:asciiTheme="minorHAnsi" w:hAnsiTheme="minorHAnsi"/>
          <w:i/>
          <w:sz w:val="24"/>
        </w:rPr>
      </w:pPr>
      <w:r w:rsidRPr="001D4F3A">
        <w:rPr>
          <w:rFonts w:asciiTheme="minorHAnsi" w:hAnsiTheme="minorHAnsi"/>
          <w:i/>
          <w:sz w:val="24"/>
        </w:rPr>
        <w:t>UG/GR Combination Courses:</w:t>
      </w:r>
    </w:p>
    <w:p w14:paraId="57C305AF" w14:textId="77CCCB7E" w:rsidR="002B48CC" w:rsidRPr="002B48CC" w:rsidRDefault="002B48CC" w:rsidP="002B48CC">
      <w:pPr>
        <w:numPr>
          <w:ilvl w:val="0"/>
          <w:numId w:val="3"/>
        </w:numPr>
        <w:spacing w:before="120" w:after="120"/>
        <w:ind w:right="14"/>
        <w:jc w:val="both"/>
        <w:rPr>
          <w:rFonts w:ascii="Calibri-Bold" w:hAnsi="Calibri-Bold" w:cs="Calibri-Bold"/>
          <w:b/>
          <w:bCs/>
          <w:color w:val="000000"/>
        </w:rPr>
      </w:pPr>
      <w:r w:rsidRPr="00282BFE">
        <w:rPr>
          <w:rFonts w:asciiTheme="minorHAnsi" w:hAnsiTheme="minorHAnsi"/>
          <w:sz w:val="24"/>
        </w:rPr>
        <w:t xml:space="preserve">A resident student is one who fulfills Oregon residency requirements as established by </w:t>
      </w:r>
      <w:r>
        <w:rPr>
          <w:rFonts w:asciiTheme="minorHAnsi" w:hAnsiTheme="minorHAnsi"/>
          <w:sz w:val="24"/>
        </w:rPr>
        <w:t>the Comprehensive Agreement</w:t>
      </w:r>
      <w:r w:rsidR="00FE7E83">
        <w:rPr>
          <w:rFonts w:asciiTheme="minorHAnsi" w:hAnsiTheme="minorHAnsi"/>
          <w:sz w:val="24"/>
        </w:rPr>
        <w:t xml:space="preserve"> (see Student Residency below)</w:t>
      </w:r>
      <w:r>
        <w:rPr>
          <w:rFonts w:asciiTheme="minorHAnsi" w:hAnsiTheme="minorHAnsi"/>
          <w:sz w:val="24"/>
        </w:rPr>
        <w:t>.</w:t>
      </w:r>
      <w:r w:rsidRPr="00282BFE">
        <w:rPr>
          <w:rFonts w:asciiTheme="minorHAnsi" w:hAnsiTheme="minorHAnsi"/>
          <w:sz w:val="24"/>
        </w:rPr>
        <w:t xml:space="preserve"> </w:t>
      </w:r>
    </w:p>
    <w:p w14:paraId="6FBDE6F5" w14:textId="77777777" w:rsidR="002B48CC" w:rsidRPr="002B48CC" w:rsidRDefault="002B48CC" w:rsidP="002B48CC">
      <w:pPr>
        <w:pStyle w:val="ListParagraph"/>
        <w:numPr>
          <w:ilvl w:val="0"/>
          <w:numId w:val="3"/>
        </w:numPr>
        <w:spacing w:before="120" w:after="120"/>
        <w:ind w:right="14"/>
        <w:jc w:val="both"/>
        <w:rPr>
          <w:rFonts w:asciiTheme="minorHAnsi" w:hAnsiTheme="minorHAnsi"/>
          <w:sz w:val="24"/>
        </w:rPr>
      </w:pPr>
      <w:r w:rsidRPr="002B48CC">
        <w:rPr>
          <w:rFonts w:asciiTheme="minorHAnsi" w:hAnsiTheme="minorHAnsi"/>
          <w:sz w:val="24"/>
        </w:rPr>
        <w:t xml:space="preserve">A nonresident student is one who does not meet Oregon residency requirements as specified in the Comprehensive Agreement.  </w:t>
      </w:r>
    </w:p>
    <w:p w14:paraId="1AE3D0FC" w14:textId="1C50F1F0" w:rsidR="00EB06D9" w:rsidRPr="001D4F3A" w:rsidRDefault="001D4F3A" w:rsidP="002B48CC">
      <w:pPr>
        <w:numPr>
          <w:ilvl w:val="0"/>
          <w:numId w:val="3"/>
        </w:numPr>
        <w:spacing w:before="120" w:after="120"/>
        <w:ind w:right="14"/>
        <w:jc w:val="both"/>
        <w:rPr>
          <w:rFonts w:ascii="Calibri-Bold" w:hAnsi="Calibri-Bold" w:cs="Calibri-Bold"/>
          <w:b/>
          <w:bCs/>
          <w:color w:val="000000"/>
        </w:rPr>
      </w:pPr>
      <w:r w:rsidRPr="001D4F3A">
        <w:rPr>
          <w:rFonts w:asciiTheme="minorHAnsi" w:hAnsiTheme="minorHAnsi"/>
          <w:sz w:val="24"/>
        </w:rPr>
        <w:lastRenderedPageBreak/>
        <w:t>Students who enroll in a combination of undergraduate and graduate courses in excess of 6 credits are assessed tuition and fees based upon their residency for each respective classification</w:t>
      </w:r>
      <w:r w:rsidR="00617F25">
        <w:rPr>
          <w:rFonts w:asciiTheme="minorHAnsi" w:hAnsiTheme="minorHAnsi"/>
          <w:sz w:val="24"/>
        </w:rPr>
        <w:t xml:space="preserve">.  </w:t>
      </w:r>
      <w:r w:rsidRPr="001D4F3A">
        <w:rPr>
          <w:rFonts w:asciiTheme="minorHAnsi" w:hAnsiTheme="minorHAnsi"/>
          <w:sz w:val="24"/>
        </w:rPr>
        <w:t>i</w:t>
      </w:r>
      <w:r w:rsidR="00617F25">
        <w:rPr>
          <w:rFonts w:asciiTheme="minorHAnsi" w:hAnsiTheme="minorHAnsi"/>
          <w:sz w:val="24"/>
        </w:rPr>
        <w:t>.</w:t>
      </w:r>
      <w:r w:rsidRPr="001D4F3A">
        <w:rPr>
          <w:rFonts w:asciiTheme="minorHAnsi" w:hAnsiTheme="minorHAnsi"/>
          <w:sz w:val="24"/>
        </w:rPr>
        <w:t>e</w:t>
      </w:r>
      <w:r w:rsidR="00617F25">
        <w:rPr>
          <w:rFonts w:asciiTheme="minorHAnsi" w:hAnsiTheme="minorHAnsi"/>
          <w:sz w:val="24"/>
        </w:rPr>
        <w:t>. if a n</w:t>
      </w:r>
      <w:r w:rsidRPr="001D4F3A">
        <w:rPr>
          <w:rFonts w:asciiTheme="minorHAnsi" w:hAnsiTheme="minorHAnsi"/>
          <w:sz w:val="24"/>
        </w:rPr>
        <w:t xml:space="preserve">onresident student takes 4 undergraduate credits and 3 graduate credits for a total of 7 credits, they will be charged for 4 undergraduate credits at the nonresident rate and 3 graduate </w:t>
      </w:r>
      <w:r w:rsidR="00617F25">
        <w:rPr>
          <w:rFonts w:asciiTheme="minorHAnsi" w:hAnsiTheme="minorHAnsi"/>
          <w:sz w:val="24"/>
        </w:rPr>
        <w:t>credits at the nonresident rate</w:t>
      </w:r>
      <w:r w:rsidRPr="001D4F3A">
        <w:rPr>
          <w:rFonts w:asciiTheme="minorHAnsi" w:hAnsiTheme="minorHAnsi"/>
          <w:sz w:val="24"/>
        </w:rPr>
        <w:t xml:space="preserve">.  </w:t>
      </w:r>
    </w:p>
    <w:p w14:paraId="30D52200" w14:textId="77777777" w:rsidR="00EB06D9" w:rsidRDefault="00EB06D9" w:rsidP="00EB06D9">
      <w:pPr>
        <w:spacing w:before="120" w:after="120"/>
        <w:ind w:left="720" w:right="14"/>
        <w:jc w:val="center"/>
        <w:rPr>
          <w:rFonts w:ascii="Calibri-Bold" w:hAnsi="Calibri-Bold" w:cs="Calibri-Bold"/>
          <w:b/>
          <w:bCs/>
          <w:color w:val="000000"/>
        </w:rPr>
      </w:pPr>
    </w:p>
    <w:p w14:paraId="7A04314D" w14:textId="77777777" w:rsidR="00EB06D9" w:rsidRPr="0065739B" w:rsidRDefault="00EB06D9" w:rsidP="00EB06D9">
      <w:pPr>
        <w:spacing w:before="120" w:after="120"/>
        <w:ind w:left="720" w:right="14"/>
        <w:jc w:val="center"/>
        <w:rPr>
          <w:rFonts w:cs="Times New Roman"/>
          <w:b/>
          <w:bCs/>
          <w:sz w:val="32"/>
          <w:szCs w:val="28"/>
          <w:lang w:eastAsia="x-none"/>
        </w:rPr>
      </w:pPr>
      <w:r w:rsidRPr="0065739B">
        <w:rPr>
          <w:rFonts w:cs="Times New Roman"/>
          <w:b/>
          <w:bCs/>
          <w:sz w:val="32"/>
          <w:szCs w:val="28"/>
          <w:lang w:val="x-none" w:eastAsia="x-none"/>
        </w:rPr>
        <w:t>Process for Setting Tuition and Fees</w:t>
      </w:r>
    </w:p>
    <w:p w14:paraId="0DE45DC6" w14:textId="77777777" w:rsidR="00EB06D9" w:rsidRPr="00282BFE" w:rsidRDefault="00EB06D9" w:rsidP="00EB06D9">
      <w:pPr>
        <w:spacing w:before="120" w:after="120"/>
        <w:ind w:left="720" w:right="14"/>
        <w:jc w:val="both"/>
        <w:rPr>
          <w:rFonts w:asciiTheme="minorHAnsi" w:hAnsiTheme="minorHAnsi"/>
          <w:sz w:val="24"/>
        </w:rPr>
      </w:pPr>
    </w:p>
    <w:p w14:paraId="0CEE1FB8" w14:textId="3ED5A0C2" w:rsidR="00EB06D9" w:rsidRPr="00F31EF8" w:rsidRDefault="00EB06D9" w:rsidP="00EB06D9">
      <w:pPr>
        <w:autoSpaceDE w:val="0"/>
        <w:autoSpaceDN w:val="0"/>
        <w:adjustRightInd w:val="0"/>
        <w:contextualSpacing/>
        <w:rPr>
          <w:rFonts w:asciiTheme="minorHAnsi" w:hAnsiTheme="minorHAnsi" w:cs="Calibri"/>
          <w:color w:val="000000"/>
          <w:sz w:val="24"/>
        </w:rPr>
      </w:pPr>
      <w:r w:rsidRPr="00F31EF8">
        <w:rPr>
          <w:rFonts w:asciiTheme="minorHAnsi" w:hAnsiTheme="minorHAnsi" w:cs="Calibri"/>
          <w:color w:val="000000"/>
          <w:sz w:val="24"/>
        </w:rPr>
        <w:t xml:space="preserve">Tuition and Mandatory Student Fees are established annually by the Board, generally at the Board’s meeting in March prior to the applicable academic year. When setting Tuition and Mandatory Student Fees, the Board considers a number of factors, including state‐appropriated funds, financial need of the University, market factors, the mix of students, students’ wellbeing and financial constraints. The Board’s consideration of Tuition and Mandatory Student Fees will be based on the recommendation of the President. </w:t>
      </w:r>
      <w:r w:rsidR="002D6E45" w:rsidRPr="00F31EF8">
        <w:rPr>
          <w:rFonts w:asciiTheme="minorHAnsi" w:hAnsiTheme="minorHAnsi" w:cs="Calibri"/>
          <w:color w:val="000000"/>
          <w:sz w:val="24"/>
        </w:rPr>
        <w:t>As outlined in the Board Policy, t</w:t>
      </w:r>
      <w:r w:rsidRPr="00F31EF8">
        <w:rPr>
          <w:rFonts w:asciiTheme="minorHAnsi" w:hAnsiTheme="minorHAnsi" w:cs="Calibri"/>
          <w:color w:val="000000"/>
          <w:sz w:val="24"/>
        </w:rPr>
        <w:t>he President shall establish a process for student participation in the development of the recommendation, which is to include, at a minimum, the ability to receive input from the Student Tuition Committee and ASOIT</w:t>
      </w:r>
      <w:r w:rsidR="00B251DD" w:rsidRPr="00F31EF8">
        <w:rPr>
          <w:rFonts w:asciiTheme="minorHAnsi" w:hAnsiTheme="minorHAnsi" w:cs="Calibri"/>
          <w:color w:val="000000"/>
          <w:sz w:val="24"/>
        </w:rPr>
        <w:t>, which is outlined in the Board Policy.</w:t>
      </w:r>
    </w:p>
    <w:p w14:paraId="26437E75" w14:textId="77777777" w:rsidR="00EB06D9" w:rsidRPr="00282BFE" w:rsidRDefault="00EB06D9" w:rsidP="00EB06D9">
      <w:pPr>
        <w:ind w:right="12"/>
        <w:jc w:val="both"/>
        <w:rPr>
          <w:rFonts w:asciiTheme="minorHAnsi" w:hAnsiTheme="minorHAnsi"/>
          <w:b/>
          <w:sz w:val="24"/>
        </w:rPr>
      </w:pPr>
    </w:p>
    <w:p w14:paraId="06571338" w14:textId="77777777" w:rsidR="00EB06D9" w:rsidRPr="00282BFE" w:rsidRDefault="00EB06D9" w:rsidP="00EB06D9">
      <w:pPr>
        <w:pStyle w:val="Heading2"/>
        <w:keepLines/>
        <w:spacing w:before="240" w:after="240"/>
        <w:jc w:val="center"/>
      </w:pPr>
      <w:bookmarkStart w:id="27" w:name="_Toc421521563"/>
      <w:r w:rsidRPr="00282BFE">
        <w:t>Student Residency</w:t>
      </w:r>
      <w:bookmarkEnd w:id="27"/>
    </w:p>
    <w:p w14:paraId="5588EE1C" w14:textId="033D3358" w:rsidR="00EB06D9" w:rsidRPr="00282BFE" w:rsidRDefault="00EB06D9" w:rsidP="00EB06D9">
      <w:pPr>
        <w:keepNext/>
        <w:keepLines/>
        <w:spacing w:before="120" w:after="120"/>
        <w:ind w:right="14"/>
        <w:jc w:val="both"/>
        <w:rPr>
          <w:rFonts w:asciiTheme="minorHAnsi" w:hAnsiTheme="minorHAnsi"/>
          <w:sz w:val="24"/>
        </w:rPr>
      </w:pPr>
      <w:r w:rsidRPr="00282BFE">
        <w:rPr>
          <w:rFonts w:asciiTheme="minorHAnsi" w:hAnsiTheme="minorHAnsi"/>
          <w:sz w:val="24"/>
        </w:rPr>
        <w:t xml:space="preserve">A resident student is one who fulfills Oregon residency requirements as established by </w:t>
      </w:r>
      <w:r w:rsidR="002D6E45">
        <w:rPr>
          <w:rFonts w:asciiTheme="minorHAnsi" w:hAnsiTheme="minorHAnsi"/>
          <w:sz w:val="24"/>
        </w:rPr>
        <w:t xml:space="preserve">the </w:t>
      </w:r>
      <w:r w:rsidR="00B251DD">
        <w:rPr>
          <w:rFonts w:asciiTheme="minorHAnsi" w:hAnsiTheme="minorHAnsi"/>
          <w:sz w:val="24"/>
        </w:rPr>
        <w:t>Comprehensive Agreement.</w:t>
      </w:r>
      <w:r w:rsidRPr="00282BFE">
        <w:rPr>
          <w:rFonts w:asciiTheme="minorHAnsi" w:hAnsiTheme="minorHAnsi"/>
          <w:sz w:val="24"/>
        </w:rPr>
        <w:t xml:space="preserve"> Oregon residency is generally based on the following criteria: a person with a bona fide fixed and permanent physical presence established and maintained in Oregon of not less than 12</w:t>
      </w:r>
      <w:r>
        <w:rPr>
          <w:rFonts w:asciiTheme="minorHAnsi" w:hAnsiTheme="minorHAnsi"/>
          <w:sz w:val="24"/>
        </w:rPr>
        <w:t> </w:t>
      </w:r>
      <w:r w:rsidRPr="00282BFE">
        <w:rPr>
          <w:rFonts w:asciiTheme="minorHAnsi" w:hAnsiTheme="minorHAnsi"/>
          <w:sz w:val="24"/>
        </w:rPr>
        <w:t xml:space="preserve">consecutive months immediately prior to the term for which residence status is requested. State funded graduate students who become Graduate Teaching or Research Assistants are automatically converted to resident status for fee purposes. </w:t>
      </w:r>
    </w:p>
    <w:p w14:paraId="01238CCE" w14:textId="5DE75C48"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 xml:space="preserve">A nonresident student is one who does not meet Oregon residency requirements as specified in </w:t>
      </w:r>
      <w:r w:rsidR="002D6E45">
        <w:rPr>
          <w:rFonts w:asciiTheme="minorHAnsi" w:hAnsiTheme="minorHAnsi"/>
          <w:sz w:val="24"/>
        </w:rPr>
        <w:t xml:space="preserve">the </w:t>
      </w:r>
      <w:r w:rsidR="00B251DD">
        <w:rPr>
          <w:rFonts w:asciiTheme="minorHAnsi" w:hAnsiTheme="minorHAnsi"/>
          <w:sz w:val="24"/>
        </w:rPr>
        <w:t xml:space="preserve">Comprehensive Agreement. </w:t>
      </w:r>
      <w:r w:rsidRPr="00282BFE">
        <w:rPr>
          <w:rFonts w:asciiTheme="minorHAnsi" w:hAnsiTheme="minorHAnsi"/>
          <w:sz w:val="24"/>
        </w:rPr>
        <w:t xml:space="preserve"> </w:t>
      </w:r>
    </w:p>
    <w:p w14:paraId="5837D0AB" w14:textId="77777777" w:rsidR="002B48CC" w:rsidRDefault="002B48CC" w:rsidP="00EB06D9">
      <w:pPr>
        <w:pStyle w:val="Heading2"/>
        <w:spacing w:before="240" w:after="240"/>
        <w:jc w:val="center"/>
      </w:pPr>
      <w:bookmarkStart w:id="28" w:name="_Toc421521564"/>
    </w:p>
    <w:p w14:paraId="4BDD6C23" w14:textId="05924A44" w:rsidR="00EB06D9" w:rsidRPr="00282BFE" w:rsidRDefault="00EB06D9" w:rsidP="00EB06D9">
      <w:pPr>
        <w:pStyle w:val="Heading2"/>
        <w:spacing w:before="240" w:after="240"/>
        <w:jc w:val="center"/>
      </w:pPr>
      <w:r w:rsidRPr="00282BFE">
        <w:t>Fees</w:t>
      </w:r>
      <w:bookmarkEnd w:id="28"/>
    </w:p>
    <w:p w14:paraId="088A687D" w14:textId="77777777"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 xml:space="preserve">Fees fall into three distinct categories: Mandatory Enrollment Fees, One-time Fees, and Other Student Fees. At </w:t>
      </w:r>
      <w:r>
        <w:rPr>
          <w:rFonts w:asciiTheme="minorHAnsi" w:hAnsiTheme="minorHAnsi"/>
          <w:sz w:val="24"/>
        </w:rPr>
        <w:t>Oregon Tech</w:t>
      </w:r>
      <w:r w:rsidRPr="00282BFE">
        <w:rPr>
          <w:rFonts w:asciiTheme="minorHAnsi" w:hAnsiTheme="minorHAnsi"/>
          <w:sz w:val="24"/>
        </w:rPr>
        <w:t xml:space="preserve">, academic or administrative units begin the process for requesting a new fee or revising an existing fee by preparing a fee proposal and submitting it to the appropriate </w:t>
      </w:r>
      <w:r>
        <w:rPr>
          <w:rFonts w:asciiTheme="minorHAnsi" w:hAnsiTheme="minorHAnsi"/>
          <w:sz w:val="24"/>
        </w:rPr>
        <w:t>university</w:t>
      </w:r>
      <w:r w:rsidRPr="00282BFE">
        <w:rPr>
          <w:rFonts w:asciiTheme="minorHAnsi" w:hAnsiTheme="minorHAnsi"/>
          <w:sz w:val="24"/>
        </w:rPr>
        <w:t xml:space="preserve"> administrator for review and approval.</w:t>
      </w:r>
    </w:p>
    <w:p w14:paraId="40D74652" w14:textId="77777777" w:rsidR="00EB06D9" w:rsidRDefault="00EB06D9" w:rsidP="00EB06D9">
      <w:pPr>
        <w:spacing w:before="120" w:after="120"/>
        <w:ind w:right="14"/>
        <w:jc w:val="both"/>
        <w:rPr>
          <w:rFonts w:asciiTheme="minorHAnsi" w:hAnsiTheme="minorHAnsi"/>
          <w:sz w:val="24"/>
        </w:rPr>
      </w:pPr>
      <w:r w:rsidRPr="00282BFE">
        <w:rPr>
          <w:rFonts w:asciiTheme="minorHAnsi" w:hAnsiTheme="minorHAnsi"/>
          <w:sz w:val="24"/>
        </w:rPr>
        <w:t xml:space="preserve">The fee requests must include information regarding the academic unit initiating the fee, fee designation or name, justification of need, amount, estimated revenues and expenditures, and expected implementation date. All fee proposals are thoroughly reviewed by </w:t>
      </w:r>
      <w:r>
        <w:rPr>
          <w:rFonts w:asciiTheme="minorHAnsi" w:hAnsiTheme="minorHAnsi"/>
          <w:sz w:val="24"/>
        </w:rPr>
        <w:t>university</w:t>
      </w:r>
      <w:r w:rsidRPr="00282BFE">
        <w:rPr>
          <w:rFonts w:asciiTheme="minorHAnsi" w:hAnsiTheme="minorHAnsi"/>
          <w:sz w:val="24"/>
        </w:rPr>
        <w:t xml:space="preserve"> administration</w:t>
      </w:r>
      <w:r w:rsidR="00B251DD">
        <w:rPr>
          <w:rFonts w:asciiTheme="minorHAnsi" w:hAnsiTheme="minorHAnsi"/>
          <w:sz w:val="24"/>
        </w:rPr>
        <w:t>, tuition incidental fee committee, ASOIT, and the President have to agree on incidentals</w:t>
      </w:r>
      <w:r w:rsidRPr="00282BFE">
        <w:rPr>
          <w:rFonts w:asciiTheme="minorHAnsi" w:hAnsiTheme="minorHAnsi"/>
          <w:sz w:val="24"/>
        </w:rPr>
        <w:t xml:space="preserve"> before being submitted to the </w:t>
      </w:r>
      <w:r>
        <w:rPr>
          <w:rFonts w:asciiTheme="minorHAnsi" w:hAnsiTheme="minorHAnsi"/>
          <w:sz w:val="24"/>
        </w:rPr>
        <w:t xml:space="preserve">Board </w:t>
      </w:r>
      <w:r w:rsidRPr="00282BFE">
        <w:rPr>
          <w:rFonts w:asciiTheme="minorHAnsi" w:hAnsiTheme="minorHAnsi"/>
          <w:sz w:val="24"/>
        </w:rPr>
        <w:t xml:space="preserve">for final assessment and adoption into the Academic Year </w:t>
      </w:r>
      <w:r>
        <w:rPr>
          <w:rFonts w:asciiTheme="minorHAnsi" w:hAnsiTheme="minorHAnsi"/>
          <w:sz w:val="24"/>
        </w:rPr>
        <w:t>and</w:t>
      </w:r>
      <w:r w:rsidRPr="00282BFE">
        <w:rPr>
          <w:rFonts w:asciiTheme="minorHAnsi" w:hAnsiTheme="minorHAnsi"/>
          <w:sz w:val="24"/>
        </w:rPr>
        <w:t xml:space="preserve"> Summer Session Fee Book</w:t>
      </w:r>
      <w:r>
        <w:rPr>
          <w:rFonts w:asciiTheme="minorHAnsi" w:hAnsiTheme="minorHAnsi"/>
          <w:sz w:val="24"/>
        </w:rPr>
        <w:t>.</w:t>
      </w:r>
    </w:p>
    <w:p w14:paraId="1DB1997F" w14:textId="77777777" w:rsidR="00EB06D9" w:rsidRDefault="00EB06D9" w:rsidP="00EB06D9">
      <w:pPr>
        <w:rPr>
          <w:rFonts w:ascii="Calibri-Bold" w:hAnsi="Calibri-Bold" w:cs="Calibri-Bold"/>
          <w:b/>
          <w:bCs/>
        </w:rPr>
      </w:pPr>
    </w:p>
    <w:p w14:paraId="16C775CE" w14:textId="77777777" w:rsidR="0065739B" w:rsidRDefault="0065739B" w:rsidP="00EB06D9">
      <w:pPr>
        <w:rPr>
          <w:rFonts w:ascii="Calibri-Bold" w:hAnsi="Calibri-Bold" w:cs="Calibri-Bold"/>
          <w:b/>
          <w:bCs/>
        </w:rPr>
      </w:pPr>
    </w:p>
    <w:p w14:paraId="60A8D4D4" w14:textId="77777777" w:rsidR="0065739B" w:rsidRDefault="0065739B" w:rsidP="00EB06D9">
      <w:pPr>
        <w:rPr>
          <w:rFonts w:ascii="Calibri-Bold" w:hAnsi="Calibri-Bold" w:cs="Calibri-Bold"/>
          <w:b/>
          <w:bCs/>
        </w:rPr>
      </w:pPr>
    </w:p>
    <w:p w14:paraId="50482D74" w14:textId="77777777" w:rsidR="0065739B" w:rsidRDefault="0065739B" w:rsidP="00EB06D9">
      <w:pPr>
        <w:rPr>
          <w:rFonts w:ascii="Calibri-Bold" w:hAnsi="Calibri-Bold" w:cs="Calibri-Bold"/>
          <w:b/>
          <w:bCs/>
        </w:rPr>
      </w:pPr>
    </w:p>
    <w:p w14:paraId="5627BA9D" w14:textId="77777777" w:rsidR="0065739B" w:rsidRDefault="0065739B" w:rsidP="00EB06D9">
      <w:pPr>
        <w:rPr>
          <w:rFonts w:ascii="Calibri-Bold" w:hAnsi="Calibri-Bold" w:cs="Calibri-Bold"/>
          <w:b/>
          <w:bCs/>
        </w:rPr>
      </w:pPr>
    </w:p>
    <w:p w14:paraId="415A7195" w14:textId="7C04907B" w:rsidR="00EB06D9" w:rsidRDefault="00EB06D9" w:rsidP="00EB06D9">
      <w:pPr>
        <w:rPr>
          <w:rFonts w:ascii="Calibri-Bold" w:hAnsi="Calibri-Bold" w:cs="Calibri-Bold"/>
          <w:b/>
          <w:bCs/>
        </w:rPr>
      </w:pPr>
      <w:r w:rsidRPr="003C3398">
        <w:rPr>
          <w:rFonts w:ascii="Calibri-Bold" w:hAnsi="Calibri-Bold" w:cs="Calibri-Bold"/>
          <w:b/>
          <w:bCs/>
        </w:rPr>
        <w:t>Limits on Tuition and Mandatory Student Fee Increases</w:t>
      </w:r>
    </w:p>
    <w:p w14:paraId="45C42FCE" w14:textId="77777777" w:rsidR="00EB06D9" w:rsidRDefault="00EB06D9" w:rsidP="00EB06D9">
      <w:pPr>
        <w:rPr>
          <w:rFonts w:ascii="Calibri-Bold" w:hAnsi="Calibri-Bold" w:cs="Calibri-Bold"/>
          <w:b/>
          <w:bCs/>
        </w:rPr>
      </w:pPr>
    </w:p>
    <w:p w14:paraId="126AC10A" w14:textId="77777777" w:rsidR="00EB06D9" w:rsidRPr="00F27E3C" w:rsidRDefault="00EB06D9" w:rsidP="00EB06D9">
      <w:pPr>
        <w:rPr>
          <w:rFonts w:asciiTheme="minorHAnsi" w:hAnsiTheme="minorHAnsi" w:cstheme="minorHAnsi"/>
          <w:sz w:val="24"/>
        </w:rPr>
      </w:pPr>
      <w:r w:rsidRPr="00F27E3C">
        <w:rPr>
          <w:rFonts w:asciiTheme="minorHAnsi" w:hAnsiTheme="minorHAnsi" w:cstheme="minorHAnsi"/>
          <w:sz w:val="24"/>
        </w:rPr>
        <w:t>When setting Tuition and Mandatory Student Fees, the Board shall consider the following limits:</w:t>
      </w:r>
    </w:p>
    <w:p w14:paraId="247C4FE3" w14:textId="77777777" w:rsidR="00EB06D9" w:rsidRPr="00F27E3C" w:rsidRDefault="00EB06D9" w:rsidP="00EB06D9">
      <w:pPr>
        <w:ind w:left="720" w:hanging="360"/>
        <w:rPr>
          <w:rFonts w:asciiTheme="minorHAnsi" w:hAnsiTheme="minorHAnsi" w:cstheme="minorHAnsi"/>
          <w:sz w:val="24"/>
        </w:rPr>
      </w:pPr>
    </w:p>
    <w:p w14:paraId="5011743B" w14:textId="77777777" w:rsidR="00EB06D9" w:rsidRPr="00F27E3C" w:rsidRDefault="00EB06D9" w:rsidP="00EB06D9">
      <w:pPr>
        <w:contextualSpacing/>
        <w:rPr>
          <w:rFonts w:asciiTheme="minorHAnsi" w:hAnsiTheme="minorHAnsi" w:cstheme="minorHAnsi"/>
          <w:sz w:val="24"/>
        </w:rPr>
      </w:pPr>
      <w:r w:rsidRPr="00F27E3C">
        <w:rPr>
          <w:rFonts w:asciiTheme="minorHAnsi" w:hAnsiTheme="minorHAnsi" w:cstheme="minorHAnsi"/>
          <w:sz w:val="24"/>
        </w:rPr>
        <w:t>The Board may not increase the total of Tuition and Mandatory Student Fees by more than five percent (5%) annually unless the Board first receives approval from the Higher Education Coordinating Commission (HECC) or the Legislative Assembly.</w:t>
      </w:r>
    </w:p>
    <w:p w14:paraId="48A4E130" w14:textId="77777777" w:rsidR="00EB06D9" w:rsidRPr="00F27E3C" w:rsidRDefault="00EB06D9" w:rsidP="00EB06D9">
      <w:pPr>
        <w:autoSpaceDE w:val="0"/>
        <w:autoSpaceDN w:val="0"/>
        <w:adjustRightInd w:val="0"/>
        <w:rPr>
          <w:rFonts w:asciiTheme="minorHAnsi" w:hAnsiTheme="minorHAnsi" w:cstheme="minorHAnsi"/>
          <w:color w:val="000000"/>
          <w:sz w:val="24"/>
        </w:rPr>
      </w:pPr>
    </w:p>
    <w:p w14:paraId="785FBB89" w14:textId="77777777" w:rsidR="00EB06D9" w:rsidRPr="00F27E3C" w:rsidRDefault="00EB06D9" w:rsidP="00EB06D9">
      <w:pPr>
        <w:autoSpaceDE w:val="0"/>
        <w:autoSpaceDN w:val="0"/>
        <w:adjustRightInd w:val="0"/>
        <w:contextualSpacing/>
        <w:rPr>
          <w:rFonts w:ascii="Calibri" w:hAnsi="Calibri" w:cs="Calibri"/>
          <w:color w:val="000000"/>
        </w:rPr>
      </w:pPr>
      <w:r w:rsidRPr="00F27E3C">
        <w:rPr>
          <w:rFonts w:asciiTheme="minorHAnsi" w:hAnsiTheme="minorHAnsi" w:cstheme="minorHAnsi"/>
          <w:color w:val="000000"/>
          <w:sz w:val="24"/>
        </w:rPr>
        <w:t>The Board will attempt to limit annual increases in Tuition and Mandatory Student Fees to a percentage that is not greater than the percentage increase in the Higher Education Price Index, as compiled by the Common-fund Institute</w:t>
      </w:r>
      <w:r w:rsidRPr="00F27E3C">
        <w:rPr>
          <w:rFonts w:ascii="Calibri" w:hAnsi="Calibri" w:cs="Calibri"/>
          <w:color w:val="000000"/>
        </w:rPr>
        <w:t>.</w:t>
      </w:r>
    </w:p>
    <w:p w14:paraId="1FAC3015" w14:textId="77777777" w:rsidR="0065739B" w:rsidRDefault="0065739B" w:rsidP="00EB06D9">
      <w:pPr>
        <w:spacing w:before="120" w:after="120"/>
        <w:ind w:right="14"/>
        <w:jc w:val="both"/>
        <w:rPr>
          <w:rFonts w:asciiTheme="minorHAnsi" w:hAnsiTheme="minorHAnsi"/>
          <w:b/>
          <w:sz w:val="24"/>
        </w:rPr>
      </w:pPr>
    </w:p>
    <w:p w14:paraId="5DAC5CEF" w14:textId="4D2F03A8" w:rsidR="00EB06D9" w:rsidRPr="00282BFE" w:rsidRDefault="00EB06D9" w:rsidP="00EB06D9">
      <w:pPr>
        <w:spacing w:before="120" w:after="120"/>
        <w:ind w:right="14"/>
        <w:jc w:val="both"/>
        <w:rPr>
          <w:rFonts w:asciiTheme="minorHAnsi" w:hAnsiTheme="minorHAnsi"/>
          <w:b/>
          <w:sz w:val="24"/>
        </w:rPr>
      </w:pPr>
      <w:r w:rsidRPr="00282BFE">
        <w:rPr>
          <w:rFonts w:asciiTheme="minorHAnsi" w:hAnsiTheme="minorHAnsi"/>
          <w:b/>
          <w:sz w:val="24"/>
        </w:rPr>
        <w:t>Mandatory Enrollment Fees</w:t>
      </w:r>
    </w:p>
    <w:p w14:paraId="387614A4" w14:textId="77777777" w:rsidR="00EB06D9" w:rsidRPr="00282BFE" w:rsidRDefault="00EB06D9" w:rsidP="00EB06D9">
      <w:pPr>
        <w:spacing w:before="120" w:after="120"/>
        <w:ind w:right="14"/>
        <w:jc w:val="both"/>
        <w:rPr>
          <w:rFonts w:asciiTheme="minorHAnsi" w:hAnsiTheme="minorHAnsi"/>
          <w:spacing w:val="-3"/>
          <w:sz w:val="24"/>
        </w:rPr>
      </w:pPr>
      <w:r w:rsidRPr="00282BFE">
        <w:rPr>
          <w:rFonts w:asciiTheme="minorHAnsi" w:hAnsiTheme="minorHAnsi"/>
          <w:sz w:val="24"/>
        </w:rPr>
        <w:t>Mandatory enrollment fees include Building, Health Service,</w:t>
      </w:r>
      <w:r>
        <w:rPr>
          <w:rFonts w:asciiTheme="minorHAnsi" w:hAnsiTheme="minorHAnsi"/>
          <w:sz w:val="24"/>
        </w:rPr>
        <w:t xml:space="preserve"> and </w:t>
      </w:r>
      <w:r w:rsidRPr="00282BFE">
        <w:rPr>
          <w:rFonts w:asciiTheme="minorHAnsi" w:hAnsiTheme="minorHAnsi"/>
          <w:sz w:val="24"/>
        </w:rPr>
        <w:t>Incidental</w:t>
      </w:r>
      <w:r>
        <w:rPr>
          <w:rFonts w:asciiTheme="minorHAnsi" w:hAnsiTheme="minorHAnsi"/>
          <w:sz w:val="24"/>
        </w:rPr>
        <w:t xml:space="preserve">. </w:t>
      </w:r>
      <w:r w:rsidRPr="00282BFE">
        <w:rPr>
          <w:rFonts w:asciiTheme="minorHAnsi" w:hAnsiTheme="minorHAnsi"/>
          <w:spacing w:val="-3"/>
          <w:sz w:val="24"/>
        </w:rPr>
        <w:t xml:space="preserve">Students enrolled under the part-time student fee policy are subject to these fees at a rate appropriate to the specific number of credit hours taken each term. Institutions have the option of assessing mandatory enrollment fees during the summer session at rates comparable to those assessed in the academic year. </w:t>
      </w:r>
    </w:p>
    <w:p w14:paraId="2502ACEC" w14:textId="77777777" w:rsidR="00EB06D9" w:rsidRPr="00282BFE" w:rsidRDefault="00EB06D9" w:rsidP="00EB06D9">
      <w:pPr>
        <w:spacing w:before="120" w:after="120"/>
        <w:ind w:right="14"/>
        <w:jc w:val="both"/>
        <w:rPr>
          <w:rFonts w:asciiTheme="minorHAnsi" w:hAnsiTheme="minorHAnsi"/>
          <w:spacing w:val="-3"/>
          <w:sz w:val="24"/>
        </w:rPr>
      </w:pPr>
      <w:r w:rsidRPr="00282BFE">
        <w:rPr>
          <w:rFonts w:asciiTheme="minorHAnsi" w:hAnsiTheme="minorHAnsi"/>
          <w:i/>
          <w:spacing w:val="-3"/>
          <w:sz w:val="24"/>
        </w:rPr>
        <w:t>Building Fee:</w:t>
      </w:r>
      <w:r w:rsidRPr="00282BFE">
        <w:rPr>
          <w:rFonts w:asciiTheme="minorHAnsi" w:hAnsiTheme="minorHAnsi"/>
          <w:spacing w:val="-3"/>
          <w:sz w:val="24"/>
        </w:rPr>
        <w:t xml:space="preserve"> </w:t>
      </w:r>
    </w:p>
    <w:p w14:paraId="72B0AF4D" w14:textId="0303AD20" w:rsidR="00EB06D9" w:rsidRPr="00282BFE" w:rsidRDefault="00EB06D9" w:rsidP="00EB06D9">
      <w:pPr>
        <w:numPr>
          <w:ilvl w:val="0"/>
          <w:numId w:val="4"/>
        </w:numPr>
        <w:spacing w:before="120" w:after="120"/>
        <w:ind w:right="14"/>
        <w:jc w:val="both"/>
        <w:rPr>
          <w:rFonts w:asciiTheme="minorHAnsi" w:hAnsiTheme="minorHAnsi"/>
          <w:spacing w:val="-3"/>
          <w:sz w:val="24"/>
        </w:rPr>
      </w:pPr>
      <w:r w:rsidRPr="00282BFE">
        <w:rPr>
          <w:rFonts w:asciiTheme="minorHAnsi" w:hAnsiTheme="minorHAnsi"/>
          <w:spacing w:val="-3"/>
          <w:sz w:val="24"/>
        </w:rPr>
        <w:t xml:space="preserve">The Building Fee is </w:t>
      </w:r>
      <w:r w:rsidR="006C05E8">
        <w:rPr>
          <w:rFonts w:asciiTheme="minorHAnsi" w:hAnsiTheme="minorHAnsi"/>
          <w:spacing w:val="-3"/>
          <w:sz w:val="24"/>
        </w:rPr>
        <w:t xml:space="preserve">set by each institution per their Board Policy.  </w:t>
      </w:r>
      <w:r w:rsidRPr="00282BFE">
        <w:rPr>
          <w:rFonts w:asciiTheme="minorHAnsi" w:hAnsiTheme="minorHAnsi"/>
          <w:spacing w:val="-3"/>
          <w:sz w:val="24"/>
        </w:rPr>
        <w:t xml:space="preserve"> This fee is established by legislative </w:t>
      </w:r>
      <w:r w:rsidR="00E125CF" w:rsidRPr="00282BFE">
        <w:rPr>
          <w:rFonts w:asciiTheme="minorHAnsi" w:hAnsiTheme="minorHAnsi"/>
          <w:spacing w:val="-3"/>
          <w:sz w:val="24"/>
        </w:rPr>
        <w:t>statute and</w:t>
      </w:r>
      <w:r w:rsidRPr="00282BFE">
        <w:rPr>
          <w:rFonts w:asciiTheme="minorHAnsi" w:hAnsiTheme="minorHAnsi"/>
          <w:spacing w:val="-3"/>
          <w:sz w:val="24"/>
        </w:rPr>
        <w:t xml:space="preserve"> </w:t>
      </w:r>
      <w:r w:rsidRPr="00CA3C29">
        <w:rPr>
          <w:rFonts w:asciiTheme="minorHAnsi" w:hAnsiTheme="minorHAnsi"/>
          <w:spacing w:val="-3"/>
          <w:sz w:val="24"/>
        </w:rPr>
        <w:t>allows the universities</w:t>
      </w:r>
      <w:r w:rsidRPr="00282BFE">
        <w:rPr>
          <w:rFonts w:asciiTheme="minorHAnsi" w:hAnsiTheme="minorHAnsi"/>
          <w:spacing w:val="-3"/>
          <w:sz w:val="24"/>
        </w:rPr>
        <w:t xml:space="preserve"> to assess up to $45 per student per term to finance debt service for construction associated with student centers, health centers, and recreational facilities constructed through the issuance of Article XI-F(1) bonds. The fee charge for summer session is approximately 75% percent of the academic year rate</w:t>
      </w:r>
      <w:r w:rsidRPr="00F959ED">
        <w:rPr>
          <w:rFonts w:asciiTheme="minorHAnsi" w:hAnsiTheme="minorHAnsi"/>
          <w:spacing w:val="-3"/>
          <w:sz w:val="24"/>
        </w:rPr>
        <w:t xml:space="preserve">. </w:t>
      </w:r>
      <w:r>
        <w:rPr>
          <w:rFonts w:asciiTheme="minorHAnsi" w:hAnsiTheme="minorHAnsi"/>
          <w:spacing w:val="-3"/>
          <w:sz w:val="24"/>
        </w:rPr>
        <w:t>For summer</w:t>
      </w:r>
      <w:r w:rsidRPr="00F959ED">
        <w:rPr>
          <w:rFonts w:asciiTheme="minorHAnsi" w:hAnsiTheme="minorHAnsi"/>
          <w:spacing w:val="-3"/>
          <w:sz w:val="24"/>
        </w:rPr>
        <w:t xml:space="preserve">, the rate </w:t>
      </w:r>
      <w:r>
        <w:rPr>
          <w:rFonts w:asciiTheme="minorHAnsi" w:hAnsiTheme="minorHAnsi"/>
          <w:spacing w:val="-3"/>
          <w:sz w:val="24"/>
        </w:rPr>
        <w:t>is</w:t>
      </w:r>
      <w:r w:rsidRPr="00F959ED">
        <w:rPr>
          <w:rFonts w:asciiTheme="minorHAnsi" w:hAnsiTheme="minorHAnsi"/>
          <w:spacing w:val="-3"/>
          <w:sz w:val="24"/>
        </w:rPr>
        <w:t xml:space="preserve"> $34 per student.</w:t>
      </w:r>
      <w:r w:rsidRPr="00282BFE">
        <w:rPr>
          <w:rFonts w:asciiTheme="minorHAnsi" w:hAnsiTheme="minorHAnsi"/>
          <w:spacing w:val="-3"/>
          <w:sz w:val="24"/>
        </w:rPr>
        <w:t xml:space="preserve"> A pro rata fee is assessed on part-time students.</w:t>
      </w:r>
    </w:p>
    <w:p w14:paraId="7F420771" w14:textId="77777777" w:rsidR="00EB06D9" w:rsidRPr="00282BFE" w:rsidRDefault="00EB06D9" w:rsidP="00EB06D9">
      <w:pPr>
        <w:spacing w:before="120" w:after="120"/>
        <w:ind w:right="14"/>
        <w:jc w:val="both"/>
        <w:rPr>
          <w:rFonts w:asciiTheme="minorHAnsi" w:hAnsiTheme="minorHAnsi"/>
          <w:spacing w:val="-3"/>
          <w:sz w:val="24"/>
        </w:rPr>
      </w:pPr>
      <w:r w:rsidRPr="00282BFE">
        <w:rPr>
          <w:rFonts w:asciiTheme="minorHAnsi" w:hAnsiTheme="minorHAnsi"/>
          <w:i/>
          <w:spacing w:val="-3"/>
          <w:sz w:val="24"/>
        </w:rPr>
        <w:t>Incidental Fee:</w:t>
      </w:r>
      <w:r w:rsidRPr="00282BFE">
        <w:rPr>
          <w:rFonts w:asciiTheme="minorHAnsi" w:hAnsiTheme="minorHAnsi"/>
          <w:spacing w:val="-3"/>
          <w:sz w:val="24"/>
        </w:rPr>
        <w:t xml:space="preserve"> </w:t>
      </w:r>
    </w:p>
    <w:p w14:paraId="23247E9A" w14:textId="77777777" w:rsidR="00EB06D9" w:rsidRDefault="00EB06D9" w:rsidP="00EB06D9">
      <w:pPr>
        <w:numPr>
          <w:ilvl w:val="0"/>
          <w:numId w:val="4"/>
        </w:numPr>
        <w:spacing w:before="120" w:after="120"/>
        <w:ind w:right="14"/>
        <w:jc w:val="both"/>
        <w:rPr>
          <w:rFonts w:asciiTheme="minorHAnsi" w:hAnsiTheme="minorHAnsi"/>
          <w:spacing w:val="-3"/>
          <w:sz w:val="24"/>
        </w:rPr>
      </w:pPr>
      <w:r w:rsidRPr="00751400">
        <w:rPr>
          <w:rFonts w:asciiTheme="minorHAnsi" w:hAnsiTheme="minorHAnsi"/>
          <w:spacing w:val="-3"/>
          <w:sz w:val="24"/>
        </w:rPr>
        <w:t xml:space="preserve">Incidental fee recommendations are made by student committees on each campus. </w:t>
      </w:r>
      <w:r>
        <w:rPr>
          <w:rFonts w:asciiTheme="minorHAnsi" w:hAnsiTheme="minorHAnsi"/>
          <w:spacing w:val="-3"/>
          <w:sz w:val="24"/>
        </w:rPr>
        <w:t>T</w:t>
      </w:r>
      <w:r w:rsidRPr="00751400">
        <w:rPr>
          <w:rFonts w:asciiTheme="minorHAnsi" w:hAnsiTheme="minorHAnsi"/>
          <w:spacing w:val="-3"/>
          <w:sz w:val="24"/>
        </w:rPr>
        <w:t xml:space="preserve">he student committee recommendations are supported by general campus student referenda. Funds generated by incidental fees are used to fund student union operations, educational, cultural, and student government activities, and athletics. </w:t>
      </w:r>
    </w:p>
    <w:p w14:paraId="4A1999DC" w14:textId="4A91B156" w:rsidR="00EB06D9" w:rsidRPr="00751400" w:rsidRDefault="006C05E8" w:rsidP="00EB06D9">
      <w:pPr>
        <w:numPr>
          <w:ilvl w:val="0"/>
          <w:numId w:val="4"/>
        </w:numPr>
        <w:spacing w:before="120" w:after="120"/>
        <w:ind w:right="14"/>
        <w:jc w:val="both"/>
        <w:rPr>
          <w:rFonts w:asciiTheme="minorHAnsi" w:hAnsiTheme="minorHAnsi"/>
          <w:spacing w:val="-3"/>
          <w:sz w:val="24"/>
        </w:rPr>
      </w:pPr>
      <w:r>
        <w:rPr>
          <w:rFonts w:asciiTheme="minorHAnsi" w:hAnsiTheme="minorHAnsi"/>
          <w:spacing w:val="-3"/>
          <w:sz w:val="24"/>
        </w:rPr>
        <w:t>It is a j</w:t>
      </w:r>
      <w:r w:rsidR="00DE4DC4">
        <w:rPr>
          <w:rFonts w:asciiTheme="minorHAnsi" w:hAnsiTheme="minorHAnsi"/>
          <w:spacing w:val="-3"/>
          <w:sz w:val="24"/>
        </w:rPr>
        <w:t xml:space="preserve">oint recommendation </w:t>
      </w:r>
      <w:r>
        <w:rPr>
          <w:rFonts w:asciiTheme="minorHAnsi" w:hAnsiTheme="minorHAnsi"/>
          <w:spacing w:val="-3"/>
          <w:sz w:val="24"/>
        </w:rPr>
        <w:t>by</w:t>
      </w:r>
      <w:r w:rsidR="00DE4DC4">
        <w:rPr>
          <w:rFonts w:asciiTheme="minorHAnsi" w:hAnsiTheme="minorHAnsi"/>
          <w:spacing w:val="-3"/>
          <w:sz w:val="24"/>
        </w:rPr>
        <w:t xml:space="preserve"> the President, ASOIT, and the incidental fee committee </w:t>
      </w:r>
      <w:r w:rsidR="00EB06D9" w:rsidRPr="00751400">
        <w:rPr>
          <w:rFonts w:asciiTheme="minorHAnsi" w:hAnsiTheme="minorHAnsi"/>
          <w:spacing w:val="-3"/>
          <w:sz w:val="24"/>
        </w:rPr>
        <w:t xml:space="preserve">for establishing incidental fees for the subsequent year. Once approved, presidents submit recommendations to the </w:t>
      </w:r>
      <w:r w:rsidR="00EB06D9">
        <w:rPr>
          <w:rFonts w:asciiTheme="minorHAnsi" w:hAnsiTheme="minorHAnsi"/>
          <w:spacing w:val="-3"/>
          <w:sz w:val="24"/>
        </w:rPr>
        <w:t>Boa</w:t>
      </w:r>
      <w:r w:rsidR="00EB06D9" w:rsidRPr="00751400">
        <w:rPr>
          <w:rFonts w:asciiTheme="minorHAnsi" w:hAnsiTheme="minorHAnsi"/>
          <w:spacing w:val="-3"/>
          <w:sz w:val="24"/>
        </w:rPr>
        <w:t>r</w:t>
      </w:r>
      <w:r w:rsidR="00EB06D9">
        <w:rPr>
          <w:rFonts w:asciiTheme="minorHAnsi" w:hAnsiTheme="minorHAnsi"/>
          <w:spacing w:val="-3"/>
          <w:sz w:val="24"/>
        </w:rPr>
        <w:t>d</w:t>
      </w:r>
      <w:r w:rsidR="00EB06D9" w:rsidRPr="00751400">
        <w:rPr>
          <w:rFonts w:asciiTheme="minorHAnsi" w:hAnsiTheme="minorHAnsi"/>
          <w:spacing w:val="-3"/>
          <w:sz w:val="24"/>
        </w:rPr>
        <w:t>. Generally, there are fewer incidental fee supported activities during the summer term, resulting in lower rates than those assessed during the academic year.</w:t>
      </w:r>
    </w:p>
    <w:p w14:paraId="53306470" w14:textId="77777777" w:rsidR="00EB06D9" w:rsidRPr="00282BFE" w:rsidRDefault="00EB06D9" w:rsidP="00EB06D9">
      <w:pPr>
        <w:spacing w:before="120" w:after="120"/>
        <w:ind w:right="14"/>
        <w:jc w:val="both"/>
        <w:rPr>
          <w:rFonts w:asciiTheme="minorHAnsi" w:hAnsiTheme="minorHAnsi"/>
          <w:spacing w:val="-3"/>
          <w:sz w:val="24"/>
        </w:rPr>
      </w:pPr>
      <w:r w:rsidRPr="00282BFE">
        <w:rPr>
          <w:rFonts w:asciiTheme="minorHAnsi" w:hAnsiTheme="minorHAnsi"/>
          <w:i/>
          <w:spacing w:val="-3"/>
          <w:sz w:val="24"/>
        </w:rPr>
        <w:t>Health Services Fee:</w:t>
      </w:r>
      <w:r w:rsidRPr="00282BFE">
        <w:rPr>
          <w:rFonts w:asciiTheme="minorHAnsi" w:hAnsiTheme="minorHAnsi"/>
          <w:spacing w:val="-3"/>
          <w:sz w:val="24"/>
        </w:rPr>
        <w:t xml:space="preserve"> </w:t>
      </w:r>
    </w:p>
    <w:p w14:paraId="0289FC86" w14:textId="499F18FB" w:rsidR="00EB06D9" w:rsidRPr="00751400" w:rsidRDefault="00EB06D9" w:rsidP="00EB06D9">
      <w:pPr>
        <w:numPr>
          <w:ilvl w:val="0"/>
          <w:numId w:val="4"/>
        </w:numPr>
        <w:spacing w:before="120" w:after="120"/>
        <w:ind w:right="14"/>
        <w:jc w:val="both"/>
        <w:rPr>
          <w:rFonts w:asciiTheme="minorHAnsi" w:hAnsiTheme="minorHAnsi"/>
          <w:b/>
          <w:sz w:val="24"/>
        </w:rPr>
      </w:pPr>
      <w:r w:rsidRPr="00282BFE">
        <w:rPr>
          <w:rFonts w:asciiTheme="minorHAnsi" w:hAnsiTheme="minorHAnsi"/>
          <w:spacing w:val="-3"/>
          <w:sz w:val="24"/>
        </w:rPr>
        <w:t>This fee is used to support each institution’s student health services,</w:t>
      </w:r>
      <w:r w:rsidR="000D2D52">
        <w:rPr>
          <w:rFonts w:asciiTheme="minorHAnsi" w:hAnsiTheme="minorHAnsi"/>
          <w:spacing w:val="-3"/>
          <w:sz w:val="24"/>
        </w:rPr>
        <w:t xml:space="preserve"> and is reviewed by </w:t>
      </w:r>
      <w:r w:rsidR="006C05E8">
        <w:rPr>
          <w:rFonts w:asciiTheme="minorHAnsi" w:hAnsiTheme="minorHAnsi"/>
          <w:spacing w:val="-3"/>
          <w:sz w:val="24"/>
        </w:rPr>
        <w:t xml:space="preserve">the </w:t>
      </w:r>
      <w:r w:rsidR="000D2D52">
        <w:rPr>
          <w:rFonts w:asciiTheme="minorHAnsi" w:hAnsiTheme="minorHAnsi"/>
          <w:spacing w:val="-3"/>
          <w:sz w:val="24"/>
        </w:rPr>
        <w:t>Health Services Advisory Committee</w:t>
      </w:r>
      <w:r w:rsidR="006C05E8">
        <w:rPr>
          <w:rFonts w:asciiTheme="minorHAnsi" w:hAnsiTheme="minorHAnsi"/>
          <w:spacing w:val="-3"/>
          <w:sz w:val="24"/>
        </w:rPr>
        <w:t xml:space="preserve"> with a recommendation to the ASOIT and OIT President</w:t>
      </w:r>
      <w:r w:rsidR="000D2D52">
        <w:rPr>
          <w:rFonts w:asciiTheme="minorHAnsi" w:hAnsiTheme="minorHAnsi"/>
          <w:spacing w:val="-3"/>
          <w:sz w:val="24"/>
        </w:rPr>
        <w:t>. These</w:t>
      </w:r>
      <w:r w:rsidRPr="00282BFE">
        <w:rPr>
          <w:rFonts w:asciiTheme="minorHAnsi" w:hAnsiTheme="minorHAnsi"/>
          <w:spacing w:val="-3"/>
          <w:sz w:val="24"/>
        </w:rPr>
        <w:t xml:space="preserve"> are operated as an auxiliary enterprise on a self-sustaining basis. During summer sessions, student health services operations may function at reduced levels or are not provided at all. The recommended summer session rates reflect these </w:t>
      </w:r>
      <w:r>
        <w:rPr>
          <w:rFonts w:asciiTheme="minorHAnsi" w:hAnsiTheme="minorHAnsi"/>
          <w:spacing w:val="-3"/>
          <w:sz w:val="24"/>
        </w:rPr>
        <w:t>reduced service levels.</w:t>
      </w:r>
    </w:p>
    <w:p w14:paraId="02A9605F" w14:textId="77777777" w:rsidR="00EB06D9" w:rsidRPr="00282BFE" w:rsidRDefault="00EB06D9" w:rsidP="00EB06D9">
      <w:pPr>
        <w:spacing w:before="120" w:after="120"/>
        <w:ind w:right="14"/>
        <w:jc w:val="both"/>
        <w:rPr>
          <w:rFonts w:asciiTheme="minorHAnsi" w:hAnsiTheme="minorHAnsi"/>
          <w:b/>
          <w:sz w:val="24"/>
        </w:rPr>
      </w:pPr>
      <w:r w:rsidRPr="00282BFE">
        <w:rPr>
          <w:rFonts w:asciiTheme="minorHAnsi" w:hAnsiTheme="minorHAnsi"/>
          <w:b/>
          <w:sz w:val="24"/>
        </w:rPr>
        <w:t>One-time Fees</w:t>
      </w:r>
    </w:p>
    <w:p w14:paraId="36E2DF20" w14:textId="77777777"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 xml:space="preserve">The Matriculation and Transcript fees are examples of one-time fee charges to new or transfer students. These fees are one-time assessments and were developed to reduce the large number of enrollment-related fees for </w:t>
      </w:r>
      <w:r w:rsidRPr="00282BFE">
        <w:rPr>
          <w:rFonts w:asciiTheme="minorHAnsi" w:hAnsiTheme="minorHAnsi"/>
          <w:sz w:val="24"/>
        </w:rPr>
        <w:lastRenderedPageBreak/>
        <w:t>student orientation, course scheduling (drop/add fees), transcripts, degree applications, and re-enrollment. The fees are also used to support academic programming for freshman interest groups and learning.</w:t>
      </w:r>
    </w:p>
    <w:p w14:paraId="3896AB75" w14:textId="77777777" w:rsidR="00EB06D9" w:rsidRPr="00282BFE" w:rsidRDefault="00EB06D9" w:rsidP="00EB06D9">
      <w:pPr>
        <w:pStyle w:val="ListParagraph"/>
        <w:numPr>
          <w:ilvl w:val="0"/>
          <w:numId w:val="36"/>
        </w:numPr>
        <w:spacing w:before="120" w:after="120"/>
        <w:ind w:right="14"/>
        <w:jc w:val="both"/>
        <w:rPr>
          <w:rFonts w:asciiTheme="minorHAnsi" w:hAnsiTheme="minorHAnsi"/>
          <w:b/>
          <w:sz w:val="24"/>
        </w:rPr>
      </w:pPr>
      <w:r w:rsidRPr="00282BFE">
        <w:rPr>
          <w:rFonts w:asciiTheme="minorHAnsi" w:hAnsiTheme="minorHAnsi"/>
          <w:b/>
          <w:sz w:val="24"/>
        </w:rPr>
        <w:t>Other Student Fees</w:t>
      </w:r>
    </w:p>
    <w:p w14:paraId="073C7BBA" w14:textId="77777777" w:rsidR="00EB06D9" w:rsidRPr="00282BFE" w:rsidRDefault="00EB06D9" w:rsidP="00EB06D9">
      <w:pPr>
        <w:spacing w:before="120" w:after="120"/>
        <w:ind w:right="14"/>
        <w:jc w:val="both"/>
        <w:rPr>
          <w:rFonts w:asciiTheme="minorHAnsi" w:hAnsiTheme="minorHAnsi"/>
          <w:i/>
          <w:sz w:val="24"/>
        </w:rPr>
      </w:pPr>
      <w:r w:rsidRPr="00282BFE">
        <w:rPr>
          <w:rFonts w:asciiTheme="minorHAnsi" w:hAnsiTheme="minorHAnsi"/>
          <w:i/>
          <w:sz w:val="24"/>
        </w:rPr>
        <w:t>Fees for Instruction Related Services:</w:t>
      </w:r>
    </w:p>
    <w:p w14:paraId="36634857" w14:textId="77777777" w:rsidR="00EB06D9" w:rsidRPr="00282BFE" w:rsidRDefault="00EB06D9" w:rsidP="00EB06D9">
      <w:pPr>
        <w:numPr>
          <w:ilvl w:val="0"/>
          <w:numId w:val="5"/>
        </w:numPr>
        <w:spacing w:before="120" w:after="120"/>
        <w:ind w:right="14"/>
        <w:jc w:val="both"/>
        <w:rPr>
          <w:rFonts w:asciiTheme="minorHAnsi" w:hAnsiTheme="minorHAnsi"/>
          <w:sz w:val="24"/>
        </w:rPr>
      </w:pPr>
      <w:r w:rsidRPr="00282BFE">
        <w:rPr>
          <w:rFonts w:asciiTheme="minorHAnsi" w:hAnsiTheme="minorHAnsi"/>
          <w:sz w:val="24"/>
        </w:rPr>
        <w:t>Laboratory and Course Fees must be published in the institution’s catalogue and/or time schedule of classes. Laboratory and Course Fees are limited to institutional sale to students of equipment, materials, or ancillary services consumed by the student as a part of course instruction where the equipment or material is not readily available for purchase through the bookstore or other external source.</w:t>
      </w:r>
    </w:p>
    <w:p w14:paraId="19DB0D2C" w14:textId="77777777" w:rsidR="00EB06D9" w:rsidRPr="00282BFE" w:rsidRDefault="00EB06D9" w:rsidP="00EB06D9">
      <w:pPr>
        <w:spacing w:before="120" w:after="120"/>
        <w:ind w:left="720" w:right="14"/>
        <w:jc w:val="both"/>
        <w:rPr>
          <w:rFonts w:asciiTheme="minorHAnsi" w:hAnsiTheme="minorHAnsi"/>
          <w:sz w:val="24"/>
        </w:rPr>
      </w:pPr>
      <w:r w:rsidRPr="00282BFE">
        <w:rPr>
          <w:rFonts w:asciiTheme="minorHAnsi" w:hAnsiTheme="minorHAnsi"/>
          <w:sz w:val="24"/>
        </w:rPr>
        <w:t xml:space="preserve">Approval will not be given for Laboratory and Course Fees that constitute a charge for the use of institution owned equipment, specimens, software licenses, or other microcomputer application charges for goods or services, or other materials and supplies consumed in the instruction process, except for certain non-required physical education courses that involve use of non-state-owned facilities or expensive equipment. </w:t>
      </w:r>
    </w:p>
    <w:p w14:paraId="0395031E" w14:textId="77777777" w:rsidR="00EB06D9" w:rsidRDefault="00EB06D9" w:rsidP="00EB06D9">
      <w:pPr>
        <w:spacing w:before="120" w:after="120"/>
        <w:ind w:right="14"/>
        <w:jc w:val="both"/>
        <w:rPr>
          <w:rFonts w:asciiTheme="minorHAnsi" w:hAnsiTheme="minorHAnsi"/>
          <w:i/>
          <w:sz w:val="24"/>
        </w:rPr>
      </w:pPr>
    </w:p>
    <w:p w14:paraId="06A536DF" w14:textId="77777777" w:rsidR="00EB06D9" w:rsidRPr="00282BFE" w:rsidRDefault="00EB06D9" w:rsidP="00EB06D9">
      <w:pPr>
        <w:spacing w:before="120" w:after="120"/>
        <w:ind w:right="14"/>
        <w:jc w:val="both"/>
        <w:rPr>
          <w:rFonts w:asciiTheme="minorHAnsi" w:hAnsiTheme="minorHAnsi"/>
          <w:i/>
          <w:sz w:val="24"/>
        </w:rPr>
      </w:pPr>
      <w:r w:rsidRPr="00282BFE">
        <w:rPr>
          <w:rFonts w:asciiTheme="minorHAnsi" w:hAnsiTheme="minorHAnsi"/>
          <w:i/>
          <w:sz w:val="24"/>
        </w:rPr>
        <w:t>Fees and Fines for Non-Instruction Related Services and Materials:</w:t>
      </w:r>
    </w:p>
    <w:p w14:paraId="0B36B97E" w14:textId="77777777" w:rsidR="00EB06D9" w:rsidRPr="00282BFE" w:rsidRDefault="00EB06D9" w:rsidP="00EB06D9">
      <w:pPr>
        <w:numPr>
          <w:ilvl w:val="0"/>
          <w:numId w:val="5"/>
        </w:numPr>
        <w:tabs>
          <w:tab w:val="clear" w:pos="720"/>
        </w:tabs>
        <w:spacing w:before="120" w:after="120"/>
        <w:ind w:right="14"/>
        <w:jc w:val="both"/>
        <w:rPr>
          <w:rFonts w:asciiTheme="minorHAnsi" w:hAnsiTheme="minorHAnsi"/>
          <w:b/>
          <w:bCs/>
          <w:i/>
          <w:iCs/>
          <w:sz w:val="24"/>
        </w:rPr>
      </w:pPr>
      <w:r w:rsidRPr="00282BFE">
        <w:rPr>
          <w:rFonts w:asciiTheme="minorHAnsi" w:hAnsiTheme="minorHAnsi"/>
          <w:sz w:val="24"/>
        </w:rPr>
        <w:t>The Board</w:t>
      </w:r>
      <w:r w:rsidR="000D2D52">
        <w:rPr>
          <w:rFonts w:asciiTheme="minorHAnsi" w:hAnsiTheme="minorHAnsi"/>
          <w:sz w:val="24"/>
        </w:rPr>
        <w:t xml:space="preserve"> Policy</w:t>
      </w:r>
      <w:r w:rsidRPr="00282BFE">
        <w:rPr>
          <w:rFonts w:asciiTheme="minorHAnsi" w:hAnsiTheme="minorHAnsi"/>
          <w:sz w:val="24"/>
        </w:rPr>
        <w:t xml:space="preserve"> requires that the level of charges be sufficient to ensure recovery of the cost of providing the services and materials as well as to recover the indirect costs associated with these activities. These include charges for auxiliary services, e.g., housing, food services, student centers, parking, and bookstores; charges for facilities use; etc. Institutions also set the level of fines for violation of campus regulations, such as late fines for library books, parking fines, etc.</w:t>
      </w:r>
    </w:p>
    <w:p w14:paraId="4D76DE41" w14:textId="77777777" w:rsidR="00EB06D9" w:rsidRPr="00282BFE" w:rsidRDefault="00EB06D9" w:rsidP="00EB06D9">
      <w:pPr>
        <w:numPr>
          <w:ilvl w:val="12"/>
          <w:numId w:val="0"/>
        </w:numPr>
        <w:spacing w:before="120" w:after="120"/>
        <w:ind w:right="14"/>
        <w:jc w:val="both"/>
        <w:rPr>
          <w:rFonts w:asciiTheme="minorHAnsi" w:hAnsiTheme="minorHAnsi"/>
          <w:bCs/>
          <w:i/>
          <w:iCs/>
          <w:sz w:val="24"/>
        </w:rPr>
      </w:pPr>
      <w:r w:rsidRPr="00282BFE">
        <w:rPr>
          <w:rFonts w:asciiTheme="minorHAnsi" w:hAnsiTheme="minorHAnsi"/>
          <w:bCs/>
          <w:i/>
          <w:iCs/>
          <w:sz w:val="24"/>
        </w:rPr>
        <w:t>Application Fee</w:t>
      </w:r>
    </w:p>
    <w:p w14:paraId="64394864" w14:textId="77777777" w:rsidR="00EB06D9" w:rsidRPr="00282BFE" w:rsidRDefault="00EB06D9" w:rsidP="00EB06D9">
      <w:pPr>
        <w:numPr>
          <w:ilvl w:val="0"/>
          <w:numId w:val="5"/>
        </w:numPr>
        <w:tabs>
          <w:tab w:val="clear" w:pos="720"/>
        </w:tabs>
        <w:spacing w:before="120" w:after="120"/>
        <w:ind w:right="14"/>
        <w:jc w:val="both"/>
        <w:rPr>
          <w:rFonts w:asciiTheme="minorHAnsi" w:hAnsiTheme="minorHAnsi"/>
          <w:sz w:val="24"/>
        </w:rPr>
      </w:pPr>
      <w:r>
        <w:rPr>
          <w:rFonts w:asciiTheme="minorHAnsi" w:hAnsiTheme="minorHAnsi"/>
          <w:sz w:val="24"/>
        </w:rPr>
        <w:t>Oregon Tech</w:t>
      </w:r>
      <w:r w:rsidRPr="00282BFE">
        <w:rPr>
          <w:rFonts w:asciiTheme="minorHAnsi" w:hAnsiTheme="minorHAnsi"/>
          <w:sz w:val="24"/>
        </w:rPr>
        <w:t xml:space="preserve"> may determine the amount of the application fee (up to $100.00) and establish policies governing the conditions under which application fees will be required. </w:t>
      </w:r>
      <w:r>
        <w:rPr>
          <w:rFonts w:asciiTheme="minorHAnsi" w:hAnsiTheme="minorHAnsi"/>
          <w:sz w:val="24"/>
        </w:rPr>
        <w:t xml:space="preserve">Oregon Tech </w:t>
      </w:r>
      <w:r w:rsidRPr="00282BFE">
        <w:rPr>
          <w:rFonts w:asciiTheme="minorHAnsi" w:hAnsiTheme="minorHAnsi"/>
          <w:sz w:val="24"/>
        </w:rPr>
        <w:t>may assess additional application fees for admission to selected programs or schools within their institution. In instances where an application is received without the Application Fee, request will be made for the Application Fee, and the fee must be received before the application will be evaluated. Application Fees are not refundable.</w:t>
      </w:r>
    </w:p>
    <w:p w14:paraId="049B09EF" w14:textId="77777777" w:rsidR="00EB06D9" w:rsidRPr="00282BFE" w:rsidRDefault="00EB06D9" w:rsidP="00EB06D9">
      <w:pPr>
        <w:numPr>
          <w:ilvl w:val="12"/>
          <w:numId w:val="0"/>
        </w:numPr>
        <w:spacing w:before="120" w:after="120"/>
        <w:ind w:right="14"/>
        <w:jc w:val="both"/>
        <w:rPr>
          <w:rFonts w:asciiTheme="minorHAnsi" w:hAnsiTheme="minorHAnsi"/>
          <w:bCs/>
          <w:i/>
          <w:iCs/>
          <w:sz w:val="24"/>
        </w:rPr>
      </w:pPr>
      <w:r w:rsidRPr="00282BFE">
        <w:rPr>
          <w:rFonts w:asciiTheme="minorHAnsi" w:hAnsiTheme="minorHAnsi"/>
          <w:bCs/>
          <w:i/>
          <w:iCs/>
          <w:sz w:val="24"/>
        </w:rPr>
        <w:t>Application Fee Deferral Program</w:t>
      </w:r>
    </w:p>
    <w:p w14:paraId="4AD8D4FD" w14:textId="77777777" w:rsidR="00EB06D9" w:rsidRPr="00282BFE" w:rsidRDefault="00EB06D9" w:rsidP="00EB06D9">
      <w:pPr>
        <w:numPr>
          <w:ilvl w:val="0"/>
          <w:numId w:val="5"/>
        </w:numPr>
        <w:tabs>
          <w:tab w:val="clear" w:pos="720"/>
        </w:tabs>
        <w:spacing w:before="120" w:after="120"/>
        <w:ind w:right="14"/>
        <w:jc w:val="both"/>
        <w:rPr>
          <w:rFonts w:asciiTheme="minorHAnsi" w:hAnsiTheme="minorHAnsi"/>
          <w:sz w:val="24"/>
        </w:rPr>
      </w:pPr>
      <w:r w:rsidRPr="00282BFE">
        <w:rPr>
          <w:rFonts w:asciiTheme="minorHAnsi" w:hAnsiTheme="minorHAnsi"/>
          <w:sz w:val="24"/>
        </w:rPr>
        <w:t>Institutional executives may, upon request, defer the Application Fee for first-time freshmen or transfer students who, at the time of application, are either eligible for or participate in any of the following:</w:t>
      </w:r>
    </w:p>
    <w:p w14:paraId="7B6FCC77" w14:textId="77777777" w:rsidR="00EB06D9" w:rsidRPr="00282BFE" w:rsidRDefault="00EB06D9" w:rsidP="00EB06D9">
      <w:pPr>
        <w:pStyle w:val="Level3"/>
        <w:numPr>
          <w:ilvl w:val="0"/>
          <w:numId w:val="27"/>
        </w:numPr>
        <w:tabs>
          <w:tab w:val="left" w:pos="-1080"/>
          <w:tab w:val="left" w:pos="-720"/>
        </w:tabs>
        <w:spacing w:before="120" w:after="120"/>
        <w:ind w:left="1080" w:right="14"/>
        <w:contextualSpacing/>
        <w:jc w:val="both"/>
        <w:rPr>
          <w:rFonts w:asciiTheme="minorHAnsi" w:hAnsiTheme="minorHAnsi" w:cs="Arial"/>
          <w:sz w:val="24"/>
        </w:rPr>
      </w:pPr>
      <w:r w:rsidRPr="00282BFE">
        <w:rPr>
          <w:rFonts w:asciiTheme="minorHAnsi" w:hAnsiTheme="minorHAnsi" w:cs="Arial"/>
          <w:sz w:val="24"/>
        </w:rPr>
        <w:t>Free or reduced school lunch program;</w:t>
      </w:r>
    </w:p>
    <w:p w14:paraId="0B03FA47" w14:textId="77777777" w:rsidR="00EB06D9" w:rsidRPr="00282BFE" w:rsidRDefault="00EB06D9" w:rsidP="00EB06D9">
      <w:pPr>
        <w:pStyle w:val="Level3"/>
        <w:numPr>
          <w:ilvl w:val="0"/>
          <w:numId w:val="27"/>
        </w:numPr>
        <w:tabs>
          <w:tab w:val="left" w:pos="-1080"/>
          <w:tab w:val="left" w:pos="-720"/>
        </w:tabs>
        <w:spacing w:before="120" w:after="120"/>
        <w:ind w:left="1080" w:right="14"/>
        <w:contextualSpacing/>
        <w:jc w:val="both"/>
        <w:rPr>
          <w:rFonts w:asciiTheme="minorHAnsi" w:hAnsiTheme="minorHAnsi" w:cs="Arial"/>
          <w:sz w:val="24"/>
        </w:rPr>
      </w:pPr>
      <w:r w:rsidRPr="00282BFE">
        <w:rPr>
          <w:rFonts w:asciiTheme="minorHAnsi" w:hAnsiTheme="minorHAnsi" w:cs="Arial"/>
          <w:sz w:val="24"/>
        </w:rPr>
        <w:t xml:space="preserve">TRIO-type college preparatory programs (e.g., Upward Bound, Talent Search, EOC, HEP); </w:t>
      </w:r>
    </w:p>
    <w:p w14:paraId="32A531D0" w14:textId="77777777" w:rsidR="00EB06D9" w:rsidRPr="00282BFE" w:rsidRDefault="00EB06D9" w:rsidP="00EB06D9">
      <w:pPr>
        <w:pStyle w:val="Level3"/>
        <w:numPr>
          <w:ilvl w:val="0"/>
          <w:numId w:val="27"/>
        </w:numPr>
        <w:tabs>
          <w:tab w:val="left" w:pos="-1080"/>
          <w:tab w:val="left" w:pos="-720"/>
        </w:tabs>
        <w:spacing w:before="120" w:after="120"/>
        <w:ind w:left="1080" w:right="14"/>
        <w:contextualSpacing/>
        <w:jc w:val="both"/>
        <w:rPr>
          <w:rFonts w:asciiTheme="minorHAnsi" w:hAnsiTheme="minorHAnsi" w:cs="Arial"/>
          <w:sz w:val="24"/>
        </w:rPr>
      </w:pPr>
      <w:r w:rsidRPr="00282BFE">
        <w:rPr>
          <w:rFonts w:asciiTheme="minorHAnsi" w:hAnsiTheme="minorHAnsi" w:cs="Arial"/>
          <w:sz w:val="24"/>
        </w:rPr>
        <w:t>State of Oregon or U.S. public assistance; and/or</w:t>
      </w:r>
    </w:p>
    <w:p w14:paraId="0674BF00" w14:textId="77777777" w:rsidR="00EB06D9" w:rsidRPr="00282BFE" w:rsidRDefault="00EB06D9" w:rsidP="00EB06D9">
      <w:pPr>
        <w:pStyle w:val="Level3"/>
        <w:numPr>
          <w:ilvl w:val="0"/>
          <w:numId w:val="27"/>
        </w:numPr>
        <w:tabs>
          <w:tab w:val="left" w:pos="-1080"/>
          <w:tab w:val="left" w:pos="-720"/>
        </w:tabs>
        <w:spacing w:before="120" w:after="120"/>
        <w:ind w:left="1080" w:right="14"/>
        <w:contextualSpacing/>
        <w:jc w:val="both"/>
        <w:rPr>
          <w:rFonts w:asciiTheme="minorHAnsi" w:hAnsiTheme="minorHAnsi" w:cs="Arial"/>
          <w:sz w:val="24"/>
        </w:rPr>
      </w:pPr>
      <w:r w:rsidRPr="00282BFE">
        <w:rPr>
          <w:rFonts w:asciiTheme="minorHAnsi" w:hAnsiTheme="minorHAnsi" w:cs="Arial"/>
          <w:sz w:val="24"/>
        </w:rPr>
        <w:t>College Board fee waiver</w:t>
      </w:r>
    </w:p>
    <w:p w14:paraId="47D00C96" w14:textId="77777777" w:rsidR="00EB06D9" w:rsidRPr="00282BFE" w:rsidRDefault="00EB06D9" w:rsidP="00EB06D9">
      <w:pPr>
        <w:pStyle w:val="Level3"/>
        <w:numPr>
          <w:ilvl w:val="0"/>
          <w:numId w:val="27"/>
        </w:numPr>
        <w:tabs>
          <w:tab w:val="left" w:pos="-1080"/>
          <w:tab w:val="left" w:pos="-720"/>
        </w:tabs>
        <w:spacing w:before="120" w:after="120"/>
        <w:ind w:left="1080" w:right="14"/>
        <w:jc w:val="both"/>
        <w:rPr>
          <w:rFonts w:asciiTheme="minorHAnsi" w:hAnsiTheme="minorHAnsi" w:cs="Arial"/>
          <w:sz w:val="24"/>
        </w:rPr>
      </w:pPr>
      <w:r w:rsidRPr="00282BFE">
        <w:rPr>
          <w:rFonts w:asciiTheme="minorHAnsi" w:hAnsiTheme="minorHAnsi" w:cs="Arial"/>
          <w:sz w:val="24"/>
        </w:rPr>
        <w:t>Foster Youth Tuition and Fee Waiver</w:t>
      </w:r>
    </w:p>
    <w:p w14:paraId="137FA911" w14:textId="77777777" w:rsidR="00EB06D9" w:rsidRPr="00282BFE" w:rsidRDefault="00EB06D9" w:rsidP="00EB06D9">
      <w:pPr>
        <w:pStyle w:val="Level3"/>
        <w:spacing w:before="120" w:after="120"/>
        <w:ind w:left="0" w:right="14"/>
        <w:jc w:val="both"/>
        <w:rPr>
          <w:rFonts w:asciiTheme="minorHAnsi" w:hAnsiTheme="minorHAnsi" w:cs="Arial"/>
          <w:sz w:val="24"/>
        </w:rPr>
      </w:pPr>
      <w:r w:rsidRPr="00282BFE">
        <w:rPr>
          <w:rFonts w:asciiTheme="minorHAnsi" w:hAnsiTheme="minorHAnsi" w:cs="Arial"/>
          <w:sz w:val="24"/>
        </w:rPr>
        <w:t>To request an online application for Application Fee deferral, go to the following web address located at:</w:t>
      </w:r>
      <w:r w:rsidRPr="00CC5E40">
        <w:t xml:space="preserve"> </w:t>
      </w:r>
      <w:hyperlink r:id="rId9" w:history="1">
        <w:r w:rsidRPr="00DF526D">
          <w:rPr>
            <w:rStyle w:val="Hyperlink"/>
            <w:rFonts w:asciiTheme="minorHAnsi" w:hAnsiTheme="minorHAnsi" w:cs="Arial"/>
            <w:sz w:val="24"/>
          </w:rPr>
          <w:t>http://www.oit.edu/docs/default-source/admissions-documents/deferral-of-application-fee-for-admission.pdf?sfvrsn=2</w:t>
        </w:r>
      </w:hyperlink>
      <w:r w:rsidRPr="00282BFE">
        <w:rPr>
          <w:rFonts w:asciiTheme="minorHAnsi" w:hAnsiTheme="minorHAnsi" w:cs="Arial"/>
          <w:sz w:val="24"/>
        </w:rPr>
        <w:t xml:space="preserve">. The student must complete the deferral form and have it signed by a school official (high school counselor), special program official, or University official, and submit it at the time of application. Application fees deferred under this provision become payable upon the student’s enrollment and receipt of financial aid funds. If a student does not complete the application process or does not enroll, the Application Fee is canceled. Students residing outside the United States at the time of their application must prove to the </w:t>
      </w:r>
      <w:r w:rsidRPr="00282BFE">
        <w:rPr>
          <w:rFonts w:asciiTheme="minorHAnsi" w:hAnsiTheme="minorHAnsi" w:cs="Arial"/>
          <w:sz w:val="24"/>
        </w:rPr>
        <w:lastRenderedPageBreak/>
        <w:t>satisfaction of institutional officials that they would meet comparable eligibility guidelines in their country of residence.</w:t>
      </w:r>
    </w:p>
    <w:p w14:paraId="2385AB19" w14:textId="77777777" w:rsidR="00EB06D9" w:rsidRPr="00282BFE" w:rsidRDefault="00EB06D9" w:rsidP="00EB06D9">
      <w:pPr>
        <w:pStyle w:val="ListParagraph"/>
        <w:numPr>
          <w:ilvl w:val="0"/>
          <w:numId w:val="36"/>
        </w:numPr>
        <w:spacing w:before="120" w:after="120"/>
        <w:ind w:right="14"/>
        <w:jc w:val="both"/>
        <w:rPr>
          <w:rFonts w:asciiTheme="minorHAnsi" w:hAnsiTheme="minorHAnsi"/>
          <w:b/>
          <w:sz w:val="24"/>
        </w:rPr>
      </w:pPr>
      <w:r w:rsidRPr="00282BFE">
        <w:rPr>
          <w:rFonts w:asciiTheme="minorHAnsi" w:hAnsiTheme="minorHAnsi"/>
          <w:b/>
          <w:sz w:val="24"/>
        </w:rPr>
        <w:t>Part-time Fee Policy</w:t>
      </w:r>
    </w:p>
    <w:p w14:paraId="5A01A137" w14:textId="597E27F3" w:rsidR="00EB06D9" w:rsidRDefault="00EB06D9" w:rsidP="00EB06D9">
      <w:pPr>
        <w:spacing w:before="120" w:after="120"/>
        <w:ind w:right="14"/>
        <w:jc w:val="both"/>
        <w:rPr>
          <w:rFonts w:asciiTheme="minorHAnsi" w:hAnsiTheme="minorHAnsi"/>
          <w:sz w:val="24"/>
        </w:rPr>
      </w:pPr>
      <w:r w:rsidRPr="00282BFE">
        <w:rPr>
          <w:rFonts w:asciiTheme="minorHAnsi" w:hAnsiTheme="minorHAnsi"/>
          <w:sz w:val="24"/>
        </w:rPr>
        <w:t xml:space="preserve">Part-time Fee Policies apply to students enrolled for up to </w:t>
      </w:r>
      <w:r>
        <w:rPr>
          <w:rFonts w:asciiTheme="minorHAnsi" w:hAnsiTheme="minorHAnsi"/>
          <w:sz w:val="24"/>
        </w:rPr>
        <w:t>six</w:t>
      </w:r>
      <w:r w:rsidRPr="00282BFE">
        <w:rPr>
          <w:rFonts w:asciiTheme="minorHAnsi" w:hAnsiTheme="minorHAnsi"/>
          <w:sz w:val="24"/>
        </w:rPr>
        <w:t xml:space="preserve"> academic year credits in a term. The part-time fee policy does not differentiate residents from nonresident students in tuition assessment. Students may take additional credits through Continuing Education courses. </w:t>
      </w:r>
    </w:p>
    <w:p w14:paraId="57CF8DD6" w14:textId="77777777" w:rsidR="0065739B" w:rsidRDefault="0065739B" w:rsidP="00EB06D9">
      <w:pPr>
        <w:spacing w:before="120" w:after="120"/>
        <w:ind w:right="14"/>
        <w:jc w:val="both"/>
        <w:rPr>
          <w:rFonts w:asciiTheme="minorHAnsi" w:hAnsiTheme="minorHAnsi"/>
          <w:sz w:val="24"/>
        </w:rPr>
      </w:pPr>
    </w:p>
    <w:p w14:paraId="0B92B198" w14:textId="77777777" w:rsidR="00EB06D9" w:rsidRPr="00F27E3C" w:rsidRDefault="00EB06D9" w:rsidP="00EB06D9">
      <w:pPr>
        <w:pStyle w:val="ListParagraph"/>
        <w:numPr>
          <w:ilvl w:val="0"/>
          <w:numId w:val="36"/>
        </w:numPr>
        <w:autoSpaceDE w:val="0"/>
        <w:autoSpaceDN w:val="0"/>
        <w:adjustRightInd w:val="0"/>
        <w:rPr>
          <w:rFonts w:ascii="Calibri" w:hAnsi="Calibri" w:cs="Calibri"/>
          <w:color w:val="000000"/>
        </w:rPr>
      </w:pPr>
      <w:bookmarkStart w:id="29" w:name="_Toc421521565"/>
      <w:r w:rsidRPr="00F27E3C">
        <w:rPr>
          <w:rFonts w:ascii="Calibri-Bold" w:hAnsi="Calibri-Bold" w:cs="Calibri-Bold"/>
          <w:b/>
          <w:bCs/>
          <w:color w:val="000000"/>
        </w:rPr>
        <w:t xml:space="preserve">Fee Remissions. </w:t>
      </w:r>
    </w:p>
    <w:p w14:paraId="15B3DC4D" w14:textId="77777777" w:rsidR="00EB06D9" w:rsidRPr="00F27E3C" w:rsidRDefault="00EB06D9" w:rsidP="00EB06D9">
      <w:pPr>
        <w:pStyle w:val="ListParagraph"/>
        <w:autoSpaceDE w:val="0"/>
        <w:autoSpaceDN w:val="0"/>
        <w:adjustRightInd w:val="0"/>
        <w:ind w:left="360"/>
        <w:rPr>
          <w:rFonts w:ascii="Calibri" w:hAnsi="Calibri" w:cs="Calibri"/>
          <w:color w:val="000000"/>
        </w:rPr>
      </w:pPr>
    </w:p>
    <w:p w14:paraId="301745C6" w14:textId="77777777" w:rsidR="00EB06D9" w:rsidRPr="00F31EF8" w:rsidRDefault="00EB06D9" w:rsidP="00EB06D9">
      <w:pPr>
        <w:autoSpaceDE w:val="0"/>
        <w:autoSpaceDN w:val="0"/>
        <w:adjustRightInd w:val="0"/>
        <w:rPr>
          <w:rFonts w:ascii="Calibri" w:hAnsi="Calibri" w:cs="Calibri"/>
          <w:color w:val="000000"/>
          <w:sz w:val="24"/>
        </w:rPr>
      </w:pPr>
      <w:r w:rsidRPr="00F31EF8">
        <w:rPr>
          <w:rFonts w:ascii="Calibri" w:hAnsi="Calibri" w:cs="Calibri"/>
          <w:color w:val="000000"/>
          <w:sz w:val="24"/>
        </w:rPr>
        <w:t>Tuition rates set by the Board do not preclude the President or designee from establishing and applying fee remissions towards the cost of tuition.</w:t>
      </w:r>
    </w:p>
    <w:p w14:paraId="07DC8191" w14:textId="77777777" w:rsidR="00EB06D9" w:rsidRDefault="00EB06D9" w:rsidP="00EB06D9">
      <w:pPr>
        <w:autoSpaceDE w:val="0"/>
        <w:autoSpaceDN w:val="0"/>
        <w:adjustRightInd w:val="0"/>
        <w:rPr>
          <w:rFonts w:ascii="Calibri" w:hAnsi="Calibri" w:cs="Calibri"/>
          <w:color w:val="000000"/>
        </w:rPr>
      </w:pPr>
    </w:p>
    <w:p w14:paraId="4B7A4F7E" w14:textId="77777777" w:rsidR="00EB06D9" w:rsidRPr="00282BFE" w:rsidRDefault="00EB06D9" w:rsidP="00EB06D9">
      <w:pPr>
        <w:pStyle w:val="Heading2"/>
        <w:spacing w:before="120" w:after="240"/>
        <w:jc w:val="center"/>
      </w:pPr>
      <w:r w:rsidRPr="00282BFE">
        <w:t>Post baccalaureate, Non-graduate Student Classification</w:t>
      </w:r>
      <w:bookmarkEnd w:id="29"/>
    </w:p>
    <w:p w14:paraId="2E486C11"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sz w:val="24"/>
        </w:rPr>
        <w:t xml:space="preserve">A holder of an accredited baccalaureate degree who has not been admitted to a graduate degree program and who submits an official application for admission to pursue a second baccalaureate degree or enroll in course work not to be used for graduate credit is called a </w:t>
      </w:r>
      <w:r w:rsidRPr="00282BFE">
        <w:rPr>
          <w:rFonts w:asciiTheme="minorHAnsi" w:hAnsiTheme="minorHAnsi"/>
          <w:i/>
          <w:iCs/>
          <w:sz w:val="24"/>
        </w:rPr>
        <w:t>post baccalaureate, non-graduate student</w:t>
      </w:r>
      <w:r w:rsidRPr="00282BFE">
        <w:rPr>
          <w:rFonts w:asciiTheme="minorHAnsi" w:hAnsiTheme="minorHAnsi"/>
          <w:sz w:val="24"/>
        </w:rPr>
        <w:t xml:space="preserve"> and is assessed tuition at </w:t>
      </w:r>
      <w:r>
        <w:rPr>
          <w:rFonts w:asciiTheme="minorHAnsi" w:hAnsiTheme="minorHAnsi"/>
          <w:sz w:val="24"/>
        </w:rPr>
        <w:t>undergraduate</w:t>
      </w:r>
      <w:r w:rsidRPr="00282BFE">
        <w:rPr>
          <w:rFonts w:asciiTheme="minorHAnsi" w:hAnsiTheme="minorHAnsi"/>
          <w:sz w:val="24"/>
        </w:rPr>
        <w:t xml:space="preserve"> rates. </w:t>
      </w:r>
    </w:p>
    <w:p w14:paraId="2B66931B" w14:textId="77777777" w:rsidR="00EB06D9" w:rsidRDefault="00EB06D9" w:rsidP="00EB06D9">
      <w:pPr>
        <w:spacing w:before="120" w:after="120"/>
        <w:ind w:right="12"/>
        <w:jc w:val="both"/>
        <w:rPr>
          <w:rFonts w:asciiTheme="minorHAnsi" w:hAnsiTheme="minorHAnsi"/>
          <w:sz w:val="24"/>
        </w:rPr>
      </w:pPr>
      <w:r w:rsidRPr="00282BFE">
        <w:rPr>
          <w:rFonts w:asciiTheme="minorHAnsi" w:hAnsiTheme="minorHAnsi"/>
          <w:sz w:val="24"/>
        </w:rPr>
        <w:t xml:space="preserve">Fees and policies applicable under the part-time fee policy shall prevail when a student classified as a post baccalaureate, non-graduate enrolls for </w:t>
      </w:r>
      <w:r>
        <w:rPr>
          <w:rFonts w:asciiTheme="minorHAnsi" w:hAnsiTheme="minorHAnsi"/>
          <w:sz w:val="24"/>
        </w:rPr>
        <w:t xml:space="preserve">six </w:t>
      </w:r>
      <w:r w:rsidRPr="00282BFE">
        <w:rPr>
          <w:rFonts w:asciiTheme="minorHAnsi" w:hAnsiTheme="minorHAnsi"/>
          <w:sz w:val="24"/>
        </w:rPr>
        <w:t xml:space="preserve">or fewer credits at </w:t>
      </w:r>
      <w:r>
        <w:rPr>
          <w:rFonts w:asciiTheme="minorHAnsi" w:hAnsiTheme="minorHAnsi"/>
          <w:sz w:val="24"/>
        </w:rPr>
        <w:t>Oregon Tech.</w:t>
      </w:r>
    </w:p>
    <w:p w14:paraId="19263EDD"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sz w:val="24"/>
        </w:rPr>
        <w:t xml:space="preserve">Baccalaureate degree holders who are admitted to </w:t>
      </w:r>
      <w:r>
        <w:rPr>
          <w:rFonts w:asciiTheme="minorHAnsi" w:hAnsiTheme="minorHAnsi"/>
          <w:sz w:val="24"/>
        </w:rPr>
        <w:t>post baccalaureate</w:t>
      </w:r>
      <w:r w:rsidRPr="00282BFE">
        <w:rPr>
          <w:rFonts w:asciiTheme="minorHAnsi" w:hAnsiTheme="minorHAnsi"/>
          <w:sz w:val="24"/>
        </w:rPr>
        <w:t xml:space="preserve">, non-graduate status at </w:t>
      </w:r>
      <w:r>
        <w:rPr>
          <w:rFonts w:asciiTheme="minorHAnsi" w:hAnsiTheme="minorHAnsi"/>
          <w:sz w:val="24"/>
        </w:rPr>
        <w:t>undergraduate</w:t>
      </w:r>
      <w:r w:rsidRPr="00282BFE">
        <w:rPr>
          <w:rFonts w:asciiTheme="minorHAnsi" w:hAnsiTheme="minorHAnsi"/>
          <w:sz w:val="24"/>
        </w:rPr>
        <w:t xml:space="preserve"> tuition rates are precluded from claiming graduate credits for graduate courses taken while in this status. However, </w:t>
      </w:r>
      <w:r>
        <w:rPr>
          <w:rFonts w:asciiTheme="minorHAnsi" w:hAnsiTheme="minorHAnsi"/>
          <w:sz w:val="24"/>
        </w:rPr>
        <w:t>Oregon Tech</w:t>
      </w:r>
      <w:r w:rsidRPr="00282BFE">
        <w:rPr>
          <w:rFonts w:asciiTheme="minorHAnsi" w:hAnsiTheme="minorHAnsi"/>
          <w:sz w:val="24"/>
        </w:rPr>
        <w:t xml:space="preserve"> may allow the reservation of not more than six of their graduate credits per term to apply in their institution’s graduate programs. Graduate credits reserved in combination as an </w:t>
      </w:r>
      <w:r>
        <w:rPr>
          <w:rFonts w:asciiTheme="minorHAnsi" w:hAnsiTheme="minorHAnsi"/>
          <w:sz w:val="24"/>
        </w:rPr>
        <w:t>undergraduate</w:t>
      </w:r>
      <w:r w:rsidRPr="00282BFE">
        <w:rPr>
          <w:rFonts w:asciiTheme="minorHAnsi" w:hAnsiTheme="minorHAnsi"/>
          <w:sz w:val="24"/>
        </w:rPr>
        <w:t xml:space="preserve"> and post baccalaureate, non-graduate cannot exceed 15 credits. Baccalaureate degree holders who are not admitted to post baccalaureate, non-graduate status will be assessed graduate tuition rates. </w:t>
      </w:r>
    </w:p>
    <w:p w14:paraId="6B4665C5"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sz w:val="24"/>
        </w:rPr>
        <w:t>Students who are admitted to an advanced degree program may convert to post baccalaureate, non-graduate student status only if the graduate degree has been awarded, if a student has been dropped from the degree program by the institution, or upon a request approved by the dean of the Graduate School for voluntary relinquishment of graduate status.</w:t>
      </w:r>
    </w:p>
    <w:p w14:paraId="06BB2D55" w14:textId="77777777" w:rsidR="00EB06D9" w:rsidRPr="00282BFE" w:rsidRDefault="00EB06D9" w:rsidP="00EB06D9">
      <w:pPr>
        <w:spacing w:before="120" w:after="120"/>
        <w:ind w:right="12"/>
        <w:jc w:val="both"/>
        <w:rPr>
          <w:rFonts w:asciiTheme="minorHAnsi" w:hAnsiTheme="minorHAnsi"/>
          <w:sz w:val="24"/>
        </w:rPr>
      </w:pPr>
    </w:p>
    <w:p w14:paraId="55C6C59B" w14:textId="77777777" w:rsidR="00EB06D9" w:rsidRPr="00282BFE" w:rsidRDefault="00EB06D9" w:rsidP="00EB06D9">
      <w:pPr>
        <w:pStyle w:val="Heading2"/>
        <w:spacing w:before="120" w:after="240"/>
        <w:jc w:val="center"/>
      </w:pPr>
      <w:bookmarkStart w:id="30" w:name="_Reduced_Tuition_Policies"/>
      <w:bookmarkStart w:id="31" w:name="Reduced_Tuition_Policies"/>
      <w:bookmarkStart w:id="32" w:name="_Toc291078509"/>
      <w:bookmarkStart w:id="33" w:name="_Toc291078949"/>
      <w:bookmarkStart w:id="34" w:name="_Toc291079497"/>
      <w:bookmarkStart w:id="35" w:name="_Toc322438380"/>
      <w:bookmarkStart w:id="36" w:name="_Toc322440167"/>
      <w:bookmarkStart w:id="37" w:name="_Toc322440250"/>
      <w:bookmarkStart w:id="38" w:name="_Toc421521566"/>
      <w:bookmarkEnd w:id="30"/>
      <w:bookmarkEnd w:id="31"/>
      <w:r w:rsidRPr="00282BFE">
        <w:t>Reduced Tuition Policies</w:t>
      </w:r>
      <w:bookmarkEnd w:id="32"/>
      <w:bookmarkEnd w:id="33"/>
      <w:bookmarkEnd w:id="34"/>
      <w:bookmarkEnd w:id="35"/>
      <w:bookmarkEnd w:id="36"/>
      <w:bookmarkEnd w:id="37"/>
      <w:bookmarkEnd w:id="38"/>
    </w:p>
    <w:p w14:paraId="4597C032" w14:textId="643933BC" w:rsidR="00EB06D9" w:rsidRPr="00282BFE" w:rsidRDefault="00EB06D9" w:rsidP="00EB06D9">
      <w:pPr>
        <w:pStyle w:val="BodyText"/>
        <w:spacing w:before="120"/>
        <w:ind w:right="12"/>
        <w:jc w:val="both"/>
        <w:rPr>
          <w:rFonts w:asciiTheme="minorHAnsi" w:hAnsiTheme="minorHAnsi"/>
          <w:sz w:val="24"/>
        </w:rPr>
      </w:pPr>
      <w:r>
        <w:rPr>
          <w:rFonts w:asciiTheme="minorHAnsi" w:hAnsiTheme="minorHAnsi"/>
          <w:sz w:val="24"/>
        </w:rPr>
        <w:t>Oregon Tech</w:t>
      </w:r>
      <w:r w:rsidRPr="00282BFE">
        <w:rPr>
          <w:rFonts w:asciiTheme="minorHAnsi" w:hAnsiTheme="minorHAnsi"/>
          <w:sz w:val="24"/>
        </w:rPr>
        <w:t>’</w:t>
      </w:r>
      <w:r>
        <w:rPr>
          <w:rFonts w:asciiTheme="minorHAnsi" w:hAnsiTheme="minorHAnsi"/>
          <w:sz w:val="24"/>
        </w:rPr>
        <w:t>s</w:t>
      </w:r>
      <w:r w:rsidRPr="00282BFE">
        <w:rPr>
          <w:rFonts w:asciiTheme="minorHAnsi" w:hAnsiTheme="minorHAnsi"/>
          <w:sz w:val="24"/>
        </w:rPr>
        <w:t xml:space="preserve"> commitment to 40-40-20 is achieved through an array of innovative reduced tuition programs and policies. These programs and policies promote Oregon</w:t>
      </w:r>
      <w:r w:rsidR="006C05E8">
        <w:rPr>
          <w:rFonts w:asciiTheme="minorHAnsi" w:hAnsiTheme="minorHAnsi"/>
          <w:sz w:val="24"/>
        </w:rPr>
        <w:t xml:space="preserve"> </w:t>
      </w:r>
      <w:r w:rsidR="00E125CF">
        <w:rPr>
          <w:rFonts w:asciiTheme="minorHAnsi" w:hAnsiTheme="minorHAnsi"/>
          <w:sz w:val="24"/>
        </w:rPr>
        <w:t>Tech’s</w:t>
      </w:r>
      <w:r w:rsidR="00E125CF" w:rsidRPr="00282BFE">
        <w:rPr>
          <w:rFonts w:asciiTheme="minorHAnsi" w:hAnsiTheme="minorHAnsi"/>
          <w:sz w:val="24"/>
        </w:rPr>
        <w:t xml:space="preserve"> goals</w:t>
      </w:r>
      <w:r w:rsidRPr="00282BFE">
        <w:rPr>
          <w:rFonts w:asciiTheme="minorHAnsi" w:hAnsiTheme="minorHAnsi"/>
          <w:sz w:val="24"/>
        </w:rPr>
        <w:t xml:space="preserve"> of providing accessibility to higher education by assuring college is affordable and relevant to the realities of today’s student population.</w:t>
      </w:r>
    </w:p>
    <w:p w14:paraId="69B525CA" w14:textId="77777777" w:rsidR="00EB06D9" w:rsidRPr="00282BFE" w:rsidRDefault="00EB06D9" w:rsidP="00EB06D9">
      <w:pPr>
        <w:pStyle w:val="Heading3"/>
        <w:spacing w:after="120"/>
        <w:jc w:val="left"/>
        <w:rPr>
          <w:rFonts w:asciiTheme="minorHAnsi" w:hAnsiTheme="minorHAnsi"/>
          <w:sz w:val="24"/>
          <w:szCs w:val="24"/>
          <w:u w:val="single"/>
        </w:rPr>
      </w:pPr>
      <w:bookmarkStart w:id="39" w:name="_Toc421521567"/>
      <w:r w:rsidRPr="00282BFE">
        <w:rPr>
          <w:rFonts w:asciiTheme="minorHAnsi" w:hAnsiTheme="minorHAnsi"/>
          <w:sz w:val="24"/>
          <w:szCs w:val="24"/>
          <w:u w:val="single"/>
        </w:rPr>
        <w:t>Approved Programmatic Student Financial Aid Programs</w:t>
      </w:r>
      <w:bookmarkEnd w:id="39"/>
      <w:r w:rsidRPr="00282BFE">
        <w:rPr>
          <w:rFonts w:asciiTheme="minorHAnsi" w:hAnsiTheme="minorHAnsi"/>
          <w:sz w:val="24"/>
          <w:szCs w:val="24"/>
          <w:u w:val="single"/>
        </w:rPr>
        <w:t xml:space="preserve"> </w:t>
      </w:r>
    </w:p>
    <w:p w14:paraId="6577983D"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sz w:val="24"/>
        </w:rPr>
        <w:t xml:space="preserve">Student financial aid programs are funded through institutional resources. The policies governing each program specify the extent to which the enrollment fees are to be reduced. The combined total aid for a student may not exceed the total enrollment fees for that student. </w:t>
      </w:r>
    </w:p>
    <w:p w14:paraId="38183E8B" w14:textId="77777777" w:rsidR="00EB06D9" w:rsidRPr="00282BFE" w:rsidRDefault="00EB06D9" w:rsidP="00EB06D9">
      <w:pPr>
        <w:spacing w:before="120" w:after="120"/>
        <w:ind w:right="12"/>
        <w:jc w:val="both"/>
        <w:rPr>
          <w:rFonts w:asciiTheme="minorHAnsi" w:hAnsiTheme="minorHAnsi"/>
          <w:sz w:val="24"/>
        </w:rPr>
      </w:pPr>
      <w:r>
        <w:rPr>
          <w:rFonts w:asciiTheme="minorHAnsi" w:hAnsiTheme="minorHAnsi"/>
          <w:sz w:val="24"/>
        </w:rPr>
        <w:t xml:space="preserve">Oregon Tech’s </w:t>
      </w:r>
      <w:r w:rsidRPr="00282BFE">
        <w:rPr>
          <w:rFonts w:asciiTheme="minorHAnsi" w:hAnsiTheme="minorHAnsi"/>
          <w:sz w:val="24"/>
        </w:rPr>
        <w:t>student financial aid offerings are comprised of programs similar to others offered across the country (often referred to as “fee waivers”</w:t>
      </w:r>
      <w:r>
        <w:rPr>
          <w:rFonts w:asciiTheme="minorHAnsi" w:hAnsiTheme="minorHAnsi"/>
          <w:sz w:val="24"/>
        </w:rPr>
        <w:t>,</w:t>
      </w:r>
      <w:r w:rsidRPr="00282BFE">
        <w:rPr>
          <w:rFonts w:asciiTheme="minorHAnsi" w:hAnsiTheme="minorHAnsi"/>
          <w:sz w:val="24"/>
        </w:rPr>
        <w:t xml:space="preserve"> “tuition discounts”</w:t>
      </w:r>
      <w:r>
        <w:rPr>
          <w:rFonts w:asciiTheme="minorHAnsi" w:hAnsiTheme="minorHAnsi"/>
          <w:sz w:val="24"/>
        </w:rPr>
        <w:t xml:space="preserve"> or “tuition remissions”</w:t>
      </w:r>
      <w:r w:rsidRPr="00282BFE">
        <w:rPr>
          <w:rFonts w:asciiTheme="minorHAnsi" w:hAnsiTheme="minorHAnsi"/>
          <w:sz w:val="24"/>
        </w:rPr>
        <w:t xml:space="preserve">) enhanced by innovative initiatives specific to the state of Oregon. The objective of programmatic student aid programs is to provide </w:t>
      </w:r>
      <w:r w:rsidRPr="00282BFE">
        <w:rPr>
          <w:rFonts w:asciiTheme="minorHAnsi" w:hAnsiTheme="minorHAnsi"/>
          <w:sz w:val="24"/>
        </w:rPr>
        <w:lastRenderedPageBreak/>
        <w:t>financial incentives for certain student groups to enroll. As an enrollment management tool, programmatic student aid allows an institution to target specific campus enrollment goals including recruitment of needy or meritorious students, international students, athletes, and other student populations. The following are summaries of O</w:t>
      </w:r>
      <w:r>
        <w:rPr>
          <w:rFonts w:asciiTheme="minorHAnsi" w:hAnsiTheme="minorHAnsi"/>
          <w:sz w:val="24"/>
        </w:rPr>
        <w:t>regon Tech</w:t>
      </w:r>
      <w:r w:rsidRPr="00282BFE">
        <w:rPr>
          <w:rFonts w:asciiTheme="minorHAnsi" w:hAnsiTheme="minorHAnsi"/>
          <w:sz w:val="24"/>
        </w:rPr>
        <w:t xml:space="preserve"> student financial assistance programs: </w:t>
      </w:r>
    </w:p>
    <w:p w14:paraId="152420EE" w14:textId="77777777" w:rsidR="00EB06D9" w:rsidRPr="00282BFE" w:rsidRDefault="00EB06D9" w:rsidP="00EB06D9">
      <w:pPr>
        <w:pStyle w:val="Heading4"/>
        <w:spacing w:before="120" w:after="120"/>
        <w:ind w:left="360"/>
        <w:jc w:val="left"/>
        <w:rPr>
          <w:rFonts w:asciiTheme="minorHAnsi" w:hAnsiTheme="minorHAnsi"/>
          <w:szCs w:val="24"/>
        </w:rPr>
      </w:pPr>
      <w:bookmarkStart w:id="40" w:name="_Toc421521568"/>
      <w:r w:rsidRPr="00282BFE">
        <w:rPr>
          <w:rFonts w:asciiTheme="minorHAnsi" w:hAnsiTheme="minorHAnsi"/>
          <w:szCs w:val="24"/>
        </w:rPr>
        <w:t>Diversity Programs</w:t>
      </w:r>
      <w:bookmarkEnd w:id="40"/>
    </w:p>
    <w:p w14:paraId="26101A69" w14:textId="77777777" w:rsidR="00EB06D9" w:rsidRPr="00282BFE" w:rsidRDefault="00EB06D9" w:rsidP="00EB06D9">
      <w:pPr>
        <w:pStyle w:val="ListParagraph"/>
        <w:numPr>
          <w:ilvl w:val="0"/>
          <w:numId w:val="28"/>
        </w:numPr>
        <w:spacing w:before="120" w:after="120"/>
        <w:ind w:left="1080" w:right="12"/>
        <w:jc w:val="both"/>
        <w:rPr>
          <w:rFonts w:asciiTheme="minorHAnsi" w:hAnsiTheme="minorHAnsi"/>
          <w:sz w:val="24"/>
        </w:rPr>
      </w:pPr>
      <w:r w:rsidRPr="00282BFE">
        <w:rPr>
          <w:rFonts w:asciiTheme="minorHAnsi" w:hAnsiTheme="minorHAnsi"/>
          <w:sz w:val="24"/>
          <w:u w:val="single"/>
        </w:rPr>
        <w:t xml:space="preserve">Oregon </w:t>
      </w:r>
      <w:r>
        <w:rPr>
          <w:rFonts w:asciiTheme="minorHAnsi" w:hAnsiTheme="minorHAnsi"/>
          <w:sz w:val="24"/>
          <w:u w:val="single"/>
        </w:rPr>
        <w:t>Tech</w:t>
      </w:r>
      <w:r w:rsidRPr="00282BFE">
        <w:rPr>
          <w:rFonts w:asciiTheme="minorHAnsi" w:hAnsiTheme="minorHAnsi"/>
          <w:sz w:val="24"/>
          <w:u w:val="single"/>
        </w:rPr>
        <w:t xml:space="preserve"> Educational Diversity Initiative</w:t>
      </w:r>
    </w:p>
    <w:p w14:paraId="52D200B7" w14:textId="77777777" w:rsidR="00EB06D9" w:rsidRPr="00282BFE" w:rsidRDefault="00EB06D9" w:rsidP="00EB06D9">
      <w:pPr>
        <w:numPr>
          <w:ilvl w:val="12"/>
          <w:numId w:val="0"/>
        </w:numPr>
        <w:spacing w:before="120" w:after="120"/>
        <w:ind w:left="1080" w:right="12"/>
        <w:jc w:val="both"/>
        <w:rPr>
          <w:rFonts w:asciiTheme="minorHAnsi" w:hAnsiTheme="minorHAnsi"/>
          <w:sz w:val="24"/>
        </w:rPr>
      </w:pPr>
      <w:r w:rsidRPr="00282BFE">
        <w:rPr>
          <w:rFonts w:asciiTheme="minorHAnsi" w:hAnsiTheme="minorHAnsi"/>
          <w:i/>
          <w:iCs/>
          <w:sz w:val="24"/>
        </w:rPr>
        <w:t>Criteria:</w:t>
      </w:r>
      <w:r w:rsidRPr="00282BFE">
        <w:rPr>
          <w:rFonts w:asciiTheme="minorHAnsi" w:hAnsiTheme="minorHAnsi"/>
          <w:i/>
          <w:sz w:val="24"/>
        </w:rPr>
        <w:t xml:space="preserve"> </w:t>
      </w:r>
      <w:r w:rsidRPr="00282BFE">
        <w:rPr>
          <w:rFonts w:asciiTheme="minorHAnsi" w:hAnsiTheme="minorHAnsi"/>
          <w:sz w:val="24"/>
        </w:rPr>
        <w:t xml:space="preserve">This program is open to all students, resident or nonresident, undergraduate or graduate. </w:t>
      </w:r>
      <w:r>
        <w:rPr>
          <w:rFonts w:asciiTheme="minorHAnsi" w:hAnsiTheme="minorHAnsi"/>
          <w:sz w:val="24"/>
        </w:rPr>
        <w:t>T</w:t>
      </w:r>
      <w:r w:rsidRPr="00282BFE">
        <w:rPr>
          <w:rFonts w:asciiTheme="minorHAnsi" w:hAnsiTheme="minorHAnsi"/>
          <w:sz w:val="24"/>
        </w:rPr>
        <w:t xml:space="preserve">he program may consider different factors in making awards and may offer one or more tuition and fee remission programs as long as it maintains its commitment to diversity. Under these guidelines, </w:t>
      </w:r>
      <w:r>
        <w:rPr>
          <w:rFonts w:asciiTheme="minorHAnsi" w:hAnsiTheme="minorHAnsi"/>
          <w:sz w:val="24"/>
        </w:rPr>
        <w:t>Oregon Tech</w:t>
      </w:r>
      <w:r w:rsidRPr="00282BFE">
        <w:rPr>
          <w:rFonts w:asciiTheme="minorHAnsi" w:hAnsiTheme="minorHAnsi"/>
          <w:sz w:val="24"/>
        </w:rPr>
        <w:t xml:space="preserve"> may consider different factors in support of their educational mission.</w:t>
      </w:r>
    </w:p>
    <w:p w14:paraId="5D724CC3" w14:textId="77777777" w:rsidR="00EB06D9" w:rsidRPr="00282BFE" w:rsidRDefault="00EB06D9" w:rsidP="00EB06D9">
      <w:pPr>
        <w:numPr>
          <w:ilvl w:val="12"/>
          <w:numId w:val="0"/>
        </w:numPr>
        <w:spacing w:before="120" w:after="120"/>
        <w:ind w:left="1080" w:right="12"/>
        <w:jc w:val="both"/>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Rather than a prescribed allocation of funds for educational diversity fee remissions, </w:t>
      </w:r>
      <w:r>
        <w:rPr>
          <w:rFonts w:asciiTheme="minorHAnsi" w:hAnsiTheme="minorHAnsi"/>
          <w:sz w:val="24"/>
        </w:rPr>
        <w:t>Oregon Tech</w:t>
      </w:r>
      <w:r w:rsidRPr="00282BFE">
        <w:rPr>
          <w:rFonts w:asciiTheme="minorHAnsi" w:hAnsiTheme="minorHAnsi"/>
          <w:sz w:val="24"/>
        </w:rPr>
        <w:t xml:space="preserve"> has the discretion to determine the remittance amount and allocation schedule. </w:t>
      </w:r>
      <w:r>
        <w:rPr>
          <w:rFonts w:asciiTheme="minorHAnsi" w:hAnsiTheme="minorHAnsi"/>
          <w:sz w:val="24"/>
        </w:rPr>
        <w:t>Oregon Tech</w:t>
      </w:r>
      <w:r w:rsidRPr="00282BFE">
        <w:rPr>
          <w:rFonts w:asciiTheme="minorHAnsi" w:hAnsiTheme="minorHAnsi"/>
          <w:sz w:val="24"/>
        </w:rPr>
        <w:t xml:space="preserve"> may make partial or full waivers based on need or to expand the number of students who receive at least some funding support. Awards are not transferable. Students may not take a tuition remission with them if they move to another </w:t>
      </w:r>
      <w:r>
        <w:rPr>
          <w:rFonts w:asciiTheme="minorHAnsi" w:hAnsiTheme="minorHAnsi"/>
          <w:sz w:val="24"/>
        </w:rPr>
        <w:t>public university</w:t>
      </w:r>
      <w:r w:rsidRPr="00282BFE">
        <w:rPr>
          <w:rFonts w:asciiTheme="minorHAnsi" w:hAnsiTheme="minorHAnsi"/>
          <w:sz w:val="24"/>
        </w:rPr>
        <w:t>, but will be evaluated based on the receiving school’s educational diversity needs.</w:t>
      </w:r>
    </w:p>
    <w:p w14:paraId="04F7BE58" w14:textId="77777777" w:rsidR="00EB06D9" w:rsidRPr="00546F37" w:rsidRDefault="00EB06D9" w:rsidP="00EB06D9">
      <w:pPr>
        <w:pStyle w:val="Heading4"/>
        <w:jc w:val="left"/>
        <w:rPr>
          <w:rFonts w:asciiTheme="minorHAnsi" w:hAnsiTheme="minorHAnsi"/>
        </w:rPr>
      </w:pPr>
      <w:r w:rsidRPr="00546F37">
        <w:rPr>
          <w:rFonts w:asciiTheme="minorHAnsi" w:hAnsiTheme="minorHAnsi"/>
          <w:sz w:val="28"/>
        </w:rPr>
        <w:t xml:space="preserve"> </w:t>
      </w:r>
      <w:bookmarkStart w:id="41" w:name="_Toc421521569"/>
      <w:r w:rsidRPr="00546F37">
        <w:rPr>
          <w:rFonts w:asciiTheme="minorHAnsi" w:hAnsiTheme="minorHAnsi"/>
        </w:rPr>
        <w:t>International Cultural Service Program</w:t>
      </w:r>
      <w:bookmarkEnd w:id="41"/>
    </w:p>
    <w:p w14:paraId="2F4DDFDB" w14:textId="77777777" w:rsidR="00EB06D9" w:rsidRPr="00282BFE" w:rsidRDefault="00EB06D9" w:rsidP="00EB06D9">
      <w:pPr>
        <w:pStyle w:val="ListParagraph"/>
        <w:numPr>
          <w:ilvl w:val="0"/>
          <w:numId w:val="29"/>
        </w:numPr>
        <w:spacing w:before="120" w:after="120"/>
        <w:ind w:right="14"/>
        <w:jc w:val="both"/>
        <w:rPr>
          <w:rFonts w:asciiTheme="minorHAnsi" w:hAnsiTheme="minorHAnsi"/>
          <w:sz w:val="24"/>
        </w:rPr>
      </w:pPr>
      <w:r w:rsidRPr="00282BFE">
        <w:rPr>
          <w:rFonts w:asciiTheme="minorHAnsi" w:hAnsiTheme="minorHAnsi"/>
          <w:sz w:val="24"/>
          <w:u w:val="single"/>
        </w:rPr>
        <w:t>International Fee Remission Program</w:t>
      </w:r>
    </w:p>
    <w:p w14:paraId="59919CA3"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 xml:space="preserve">Criteria: </w:t>
      </w:r>
      <w:r w:rsidRPr="00282BFE">
        <w:rPr>
          <w:rFonts w:asciiTheme="minorHAnsi" w:hAnsiTheme="minorHAnsi"/>
          <w:sz w:val="24"/>
        </w:rPr>
        <w:t>This program is for undergraduate or graduate students with foreign student status.</w:t>
      </w:r>
    </w:p>
    <w:p w14:paraId="42330F60"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Awards may vary in amount but cannot exceed the total nonresident undergraduate or graduate Enrollment Fees (Tuition, Building, Incidental, and Health Service Fees). However, the institution has the option to remit these fees if they see fit. </w:t>
      </w:r>
    </w:p>
    <w:p w14:paraId="3BE1C0E0"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b.</w:t>
      </w:r>
      <w:r w:rsidRPr="00282BFE">
        <w:rPr>
          <w:rFonts w:asciiTheme="minorHAnsi" w:hAnsiTheme="minorHAnsi"/>
          <w:sz w:val="24"/>
        </w:rPr>
        <w:tab/>
      </w:r>
      <w:r w:rsidRPr="00282BFE">
        <w:rPr>
          <w:rFonts w:asciiTheme="minorHAnsi" w:hAnsiTheme="minorHAnsi"/>
          <w:sz w:val="24"/>
          <w:u w:val="single"/>
        </w:rPr>
        <w:t>Cultural Service Program</w:t>
      </w:r>
    </w:p>
    <w:p w14:paraId="5EB11389"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Criteria</w:t>
      </w:r>
      <w:r w:rsidRPr="00282BFE">
        <w:rPr>
          <w:rFonts w:asciiTheme="minorHAnsi" w:hAnsiTheme="minorHAnsi"/>
          <w:sz w:val="24"/>
        </w:rPr>
        <w:t xml:space="preserve">: This program is for </w:t>
      </w:r>
      <w:r>
        <w:rPr>
          <w:rFonts w:asciiTheme="minorHAnsi" w:hAnsiTheme="minorHAnsi"/>
          <w:sz w:val="24"/>
        </w:rPr>
        <w:t>undergraduate</w:t>
      </w:r>
      <w:r w:rsidRPr="00282BFE">
        <w:rPr>
          <w:rFonts w:asciiTheme="minorHAnsi" w:hAnsiTheme="minorHAnsi"/>
          <w:sz w:val="24"/>
        </w:rPr>
        <w:t xml:space="preserve"> or graduate students with foreign student status who: are competitively selected on the basis of academically meritorious achievement; and fulfill the community service requirements of the program while receiving the award.</w:t>
      </w:r>
    </w:p>
    <w:p w14:paraId="4A475785"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Awards may vary in amount but cannot exceed the total nonresident undergraduate or graduate Enrollment Fees (Tuition and Mandatory Enrollment Fees). Remission of Mandatory Enrollment Fees is at the institution’s option. </w:t>
      </w:r>
    </w:p>
    <w:p w14:paraId="2DF5609C" w14:textId="77777777" w:rsidR="00EB06D9" w:rsidRPr="00282BFE" w:rsidRDefault="00EB06D9" w:rsidP="00EB06D9">
      <w:pPr>
        <w:pStyle w:val="Heading4"/>
        <w:spacing w:before="120" w:after="120"/>
        <w:ind w:left="360"/>
        <w:jc w:val="left"/>
        <w:rPr>
          <w:rFonts w:asciiTheme="minorHAnsi" w:hAnsiTheme="minorHAnsi"/>
          <w:szCs w:val="24"/>
        </w:rPr>
      </w:pPr>
      <w:bookmarkStart w:id="42" w:name="_Toc421521570"/>
      <w:r w:rsidRPr="00282BFE">
        <w:rPr>
          <w:rFonts w:asciiTheme="minorHAnsi" w:hAnsiTheme="minorHAnsi"/>
          <w:szCs w:val="24"/>
        </w:rPr>
        <w:t>International Exchanges</w:t>
      </w:r>
      <w:bookmarkEnd w:id="42"/>
    </w:p>
    <w:p w14:paraId="39880B9A"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a.</w:t>
      </w:r>
      <w:r w:rsidRPr="00282BFE">
        <w:rPr>
          <w:rFonts w:asciiTheme="minorHAnsi" w:hAnsiTheme="minorHAnsi"/>
          <w:sz w:val="24"/>
        </w:rPr>
        <w:tab/>
      </w:r>
      <w:r w:rsidRPr="00282BFE">
        <w:rPr>
          <w:rFonts w:asciiTheme="minorHAnsi" w:hAnsiTheme="minorHAnsi"/>
          <w:sz w:val="24"/>
          <w:u w:val="single"/>
        </w:rPr>
        <w:t>International Exchange Program</w:t>
      </w:r>
    </w:p>
    <w:p w14:paraId="3331DF00"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Criteria:</w:t>
      </w:r>
      <w:r w:rsidRPr="00282BFE">
        <w:rPr>
          <w:rFonts w:asciiTheme="minorHAnsi" w:hAnsiTheme="minorHAnsi"/>
          <w:sz w:val="24"/>
        </w:rPr>
        <w:t xml:space="preserve"> This program is for students who are attending Oregon </w:t>
      </w:r>
      <w:r>
        <w:rPr>
          <w:rFonts w:asciiTheme="minorHAnsi" w:hAnsiTheme="minorHAnsi"/>
          <w:sz w:val="24"/>
        </w:rPr>
        <w:t>Institute of Technology</w:t>
      </w:r>
      <w:r w:rsidRPr="00282BFE">
        <w:rPr>
          <w:rFonts w:asciiTheme="minorHAnsi" w:hAnsiTheme="minorHAnsi"/>
          <w:sz w:val="24"/>
        </w:rPr>
        <w:t xml:space="preserve"> as a part of an approved system-wide exchange program. </w:t>
      </w:r>
    </w:p>
    <w:p w14:paraId="1B44C47D"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Awards may consist of remission of all or some of the Enrollment Fees, depending upon the reciprocal agreement under which the student is enrolled. </w:t>
      </w:r>
    </w:p>
    <w:p w14:paraId="3832BFCF"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b.</w:t>
      </w:r>
      <w:r w:rsidRPr="00282BFE">
        <w:rPr>
          <w:rFonts w:asciiTheme="minorHAnsi" w:hAnsiTheme="minorHAnsi"/>
          <w:sz w:val="24"/>
        </w:rPr>
        <w:tab/>
      </w:r>
      <w:r w:rsidRPr="00282BFE">
        <w:rPr>
          <w:rFonts w:asciiTheme="minorHAnsi" w:hAnsiTheme="minorHAnsi"/>
          <w:sz w:val="24"/>
          <w:u w:val="single"/>
        </w:rPr>
        <w:t>International Institution Exchange Program</w:t>
      </w:r>
    </w:p>
    <w:p w14:paraId="0DF53E38"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Criteria:</w:t>
      </w:r>
      <w:r w:rsidRPr="00282BFE">
        <w:rPr>
          <w:rFonts w:asciiTheme="minorHAnsi" w:hAnsiTheme="minorHAnsi"/>
          <w:sz w:val="24"/>
        </w:rPr>
        <w:t xml:space="preserve"> This program is for students who are attending Oregon </w:t>
      </w:r>
      <w:r>
        <w:rPr>
          <w:rFonts w:asciiTheme="minorHAnsi" w:hAnsiTheme="minorHAnsi"/>
          <w:sz w:val="24"/>
        </w:rPr>
        <w:t>Institute of Technology</w:t>
      </w:r>
      <w:r w:rsidRPr="00282BFE">
        <w:rPr>
          <w:rFonts w:asciiTheme="minorHAnsi" w:hAnsiTheme="minorHAnsi"/>
          <w:sz w:val="24"/>
        </w:rPr>
        <w:t xml:space="preserve"> as a part of a Board-approved institution exchange program. </w:t>
      </w:r>
    </w:p>
    <w:p w14:paraId="1460B1E7"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Awards may consist of remission of all or some of the Enrollment Fees, depending upon the reciprocal agreement under which the student is enrolled. </w:t>
      </w:r>
    </w:p>
    <w:p w14:paraId="5C95B04D" w14:textId="77777777" w:rsidR="00EB06D9" w:rsidRPr="00282BFE" w:rsidRDefault="00EB06D9" w:rsidP="00EB06D9">
      <w:pPr>
        <w:pStyle w:val="Heading4"/>
        <w:spacing w:before="120" w:after="120"/>
        <w:ind w:left="360"/>
        <w:jc w:val="left"/>
        <w:rPr>
          <w:rFonts w:asciiTheme="minorHAnsi" w:hAnsiTheme="minorHAnsi"/>
          <w:szCs w:val="24"/>
        </w:rPr>
      </w:pPr>
      <w:bookmarkStart w:id="43" w:name="_Toc421521571"/>
      <w:r w:rsidRPr="00282BFE">
        <w:rPr>
          <w:rFonts w:asciiTheme="minorHAnsi" w:hAnsiTheme="minorHAnsi"/>
          <w:szCs w:val="24"/>
        </w:rPr>
        <w:lastRenderedPageBreak/>
        <w:t>Contract and Grant</w:t>
      </w:r>
      <w:bookmarkEnd w:id="43"/>
    </w:p>
    <w:p w14:paraId="75995B74"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a.</w:t>
      </w:r>
      <w:r w:rsidRPr="00282BFE">
        <w:rPr>
          <w:rFonts w:asciiTheme="minorHAnsi" w:hAnsiTheme="minorHAnsi"/>
          <w:sz w:val="24"/>
        </w:rPr>
        <w:tab/>
      </w:r>
      <w:r w:rsidRPr="00282BFE">
        <w:rPr>
          <w:rFonts w:asciiTheme="minorHAnsi" w:hAnsiTheme="minorHAnsi"/>
          <w:sz w:val="24"/>
          <w:u w:val="single"/>
        </w:rPr>
        <w:t>Contract and Grant: Academic Year</w:t>
      </w:r>
    </w:p>
    <w:p w14:paraId="1756570C"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 xml:space="preserve">Criteria: </w:t>
      </w:r>
      <w:r w:rsidRPr="00282BFE">
        <w:rPr>
          <w:rFonts w:asciiTheme="minorHAnsi" w:hAnsiTheme="minorHAnsi"/>
          <w:sz w:val="24"/>
        </w:rPr>
        <w:t>This provision is for students who participate in specific courses or programs during the academic year funded by grant or contract with an outside agency or firm.</w:t>
      </w:r>
    </w:p>
    <w:p w14:paraId="66561C08" w14:textId="77777777" w:rsidR="00EB06D9" w:rsidRPr="00282BFE" w:rsidRDefault="00EB06D9" w:rsidP="00EB06D9">
      <w:pPr>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Awards are generally for remission of Tuition only, depending upon agreement with the granting agency.</w:t>
      </w:r>
    </w:p>
    <w:p w14:paraId="107E5359" w14:textId="77777777" w:rsidR="00EB06D9" w:rsidRPr="00282BFE" w:rsidRDefault="00EB06D9" w:rsidP="00EB06D9">
      <w:pPr>
        <w:keepNext/>
        <w:keepLines/>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b.</w:t>
      </w:r>
      <w:r w:rsidRPr="00282BFE">
        <w:rPr>
          <w:rFonts w:asciiTheme="minorHAnsi" w:hAnsiTheme="minorHAnsi"/>
          <w:sz w:val="24"/>
        </w:rPr>
        <w:tab/>
      </w:r>
      <w:r w:rsidRPr="00282BFE">
        <w:rPr>
          <w:rFonts w:asciiTheme="minorHAnsi" w:hAnsiTheme="minorHAnsi"/>
          <w:sz w:val="24"/>
          <w:u w:val="single"/>
        </w:rPr>
        <w:t>Contract and Grant: Summer Session</w:t>
      </w:r>
    </w:p>
    <w:p w14:paraId="59503B26" w14:textId="77777777" w:rsidR="00EB06D9" w:rsidRPr="00282BFE" w:rsidRDefault="00EB06D9" w:rsidP="00EB06D9">
      <w:pPr>
        <w:keepNext/>
        <w:numPr>
          <w:ilvl w:val="12"/>
          <w:numId w:val="0"/>
        </w:numPr>
        <w:spacing w:before="120" w:after="120"/>
        <w:ind w:left="1080" w:right="14"/>
        <w:jc w:val="both"/>
        <w:rPr>
          <w:rFonts w:asciiTheme="minorHAnsi" w:hAnsiTheme="minorHAnsi"/>
          <w:sz w:val="24"/>
        </w:rPr>
      </w:pPr>
      <w:r w:rsidRPr="00282BFE">
        <w:rPr>
          <w:rFonts w:asciiTheme="minorHAnsi" w:hAnsiTheme="minorHAnsi"/>
          <w:i/>
          <w:iCs/>
          <w:sz w:val="24"/>
        </w:rPr>
        <w:t>Criteria:</w:t>
      </w:r>
      <w:r w:rsidRPr="00282BFE">
        <w:rPr>
          <w:rFonts w:asciiTheme="minorHAnsi" w:hAnsiTheme="minorHAnsi"/>
          <w:sz w:val="24"/>
        </w:rPr>
        <w:t xml:space="preserve"> This provision is for students who participate in specific courses or programs during the summer session funded by grant or contract with an outside agency or firm.</w:t>
      </w:r>
    </w:p>
    <w:p w14:paraId="75F9F505" w14:textId="77777777" w:rsidR="00EB06D9" w:rsidRPr="00282BFE" w:rsidRDefault="00EB06D9" w:rsidP="00EB06D9">
      <w:pPr>
        <w:numPr>
          <w:ilvl w:val="12"/>
          <w:numId w:val="0"/>
        </w:numPr>
        <w:spacing w:before="120" w:after="120"/>
        <w:ind w:left="1080" w:right="14"/>
        <w:jc w:val="both"/>
        <w:rPr>
          <w:rFonts w:asciiTheme="minorHAnsi" w:hAnsiTheme="minorHAnsi"/>
          <w:strike/>
          <w:sz w:val="24"/>
          <w:u w:val="single"/>
        </w:rPr>
      </w:pPr>
      <w:r w:rsidRPr="00282BFE">
        <w:rPr>
          <w:rFonts w:asciiTheme="minorHAnsi" w:hAnsiTheme="minorHAnsi"/>
          <w:i/>
          <w:iCs/>
          <w:sz w:val="24"/>
        </w:rPr>
        <w:t>Awards:</w:t>
      </w:r>
      <w:r w:rsidRPr="00282BFE">
        <w:rPr>
          <w:rFonts w:asciiTheme="minorHAnsi" w:hAnsiTheme="minorHAnsi"/>
          <w:sz w:val="24"/>
        </w:rPr>
        <w:t xml:space="preserve"> Awards are generally for remission of Tuition only, depending upon agreement with the granting agency.</w:t>
      </w:r>
    </w:p>
    <w:p w14:paraId="1139C751" w14:textId="77777777" w:rsidR="00EB06D9" w:rsidRPr="00282BFE" w:rsidRDefault="00EB06D9" w:rsidP="00EB06D9">
      <w:pPr>
        <w:pStyle w:val="Heading4"/>
        <w:spacing w:before="120" w:after="120"/>
        <w:ind w:left="360"/>
        <w:jc w:val="left"/>
        <w:rPr>
          <w:rFonts w:asciiTheme="minorHAnsi" w:hAnsiTheme="minorHAnsi"/>
          <w:szCs w:val="24"/>
        </w:rPr>
      </w:pPr>
      <w:bookmarkStart w:id="44" w:name="_Toc421521572"/>
      <w:r w:rsidRPr="00282BFE">
        <w:rPr>
          <w:rFonts w:asciiTheme="minorHAnsi" w:hAnsiTheme="minorHAnsi"/>
          <w:szCs w:val="24"/>
        </w:rPr>
        <w:t>O</w:t>
      </w:r>
      <w:r>
        <w:rPr>
          <w:rFonts w:asciiTheme="minorHAnsi" w:hAnsiTheme="minorHAnsi"/>
          <w:szCs w:val="24"/>
        </w:rPr>
        <w:t>regon Tech</w:t>
      </w:r>
      <w:r w:rsidRPr="00282BFE">
        <w:rPr>
          <w:rFonts w:asciiTheme="minorHAnsi" w:hAnsiTheme="minorHAnsi"/>
          <w:szCs w:val="24"/>
        </w:rPr>
        <w:t xml:space="preserve"> Supplemental Tuition Grant</w:t>
      </w:r>
      <w:bookmarkEnd w:id="44"/>
    </w:p>
    <w:p w14:paraId="70A023B2" w14:textId="77777777" w:rsidR="00EB06D9" w:rsidRPr="00282BFE" w:rsidRDefault="00EB06D9" w:rsidP="00EB06D9">
      <w:pPr>
        <w:numPr>
          <w:ilvl w:val="12"/>
          <w:numId w:val="0"/>
        </w:numPr>
        <w:spacing w:before="120" w:after="120"/>
        <w:ind w:left="720" w:right="14"/>
        <w:jc w:val="both"/>
        <w:rPr>
          <w:rFonts w:asciiTheme="minorHAnsi" w:hAnsiTheme="minorHAnsi"/>
          <w:sz w:val="24"/>
        </w:rPr>
      </w:pPr>
      <w:r w:rsidRPr="00282BFE">
        <w:rPr>
          <w:rFonts w:asciiTheme="minorHAnsi" w:hAnsiTheme="minorHAnsi"/>
          <w:i/>
          <w:iCs/>
          <w:sz w:val="24"/>
        </w:rPr>
        <w:t>Criteria:</w:t>
      </w:r>
      <w:r w:rsidRPr="00282BFE">
        <w:rPr>
          <w:rFonts w:asciiTheme="minorHAnsi" w:hAnsiTheme="minorHAnsi"/>
          <w:sz w:val="24"/>
        </w:rPr>
        <w:t xml:space="preserve"> The O</w:t>
      </w:r>
      <w:r>
        <w:rPr>
          <w:rFonts w:asciiTheme="minorHAnsi" w:hAnsiTheme="minorHAnsi"/>
          <w:sz w:val="24"/>
        </w:rPr>
        <w:t>regon Tech</w:t>
      </w:r>
      <w:r w:rsidRPr="00282BFE">
        <w:rPr>
          <w:rFonts w:asciiTheme="minorHAnsi" w:hAnsiTheme="minorHAnsi"/>
          <w:sz w:val="24"/>
        </w:rPr>
        <w:t xml:space="preserve"> Supplemental Tuition Grant is a need-based tuition grant program available to qualified Oregon resident students.</w:t>
      </w:r>
    </w:p>
    <w:p w14:paraId="4A86697C" w14:textId="77777777" w:rsidR="00EB06D9" w:rsidRDefault="00EB06D9" w:rsidP="00EB06D9">
      <w:pPr>
        <w:numPr>
          <w:ilvl w:val="12"/>
          <w:numId w:val="0"/>
        </w:numPr>
        <w:spacing w:before="120" w:after="120"/>
        <w:ind w:left="720" w:right="14"/>
        <w:jc w:val="both"/>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These supplemental tuition grants may vary at institutional discretion but may not exceed the total Tuition assessed for the regular academic year.</w:t>
      </w:r>
    </w:p>
    <w:p w14:paraId="2189A3C6" w14:textId="77777777" w:rsidR="00EB06D9" w:rsidRPr="00282BFE" w:rsidRDefault="00EB06D9" w:rsidP="00EB06D9">
      <w:pPr>
        <w:pStyle w:val="Heading4"/>
        <w:spacing w:before="120" w:after="120"/>
        <w:ind w:left="360"/>
        <w:jc w:val="left"/>
        <w:rPr>
          <w:rFonts w:asciiTheme="minorHAnsi" w:hAnsiTheme="minorHAnsi"/>
          <w:szCs w:val="24"/>
        </w:rPr>
      </w:pPr>
      <w:bookmarkStart w:id="45" w:name="_Toc421521573"/>
      <w:r w:rsidRPr="00282BFE">
        <w:rPr>
          <w:rFonts w:asciiTheme="minorHAnsi" w:hAnsiTheme="minorHAnsi"/>
          <w:szCs w:val="24"/>
        </w:rPr>
        <w:t>VOYAGER Fee Remission</w:t>
      </w:r>
      <w:bookmarkEnd w:id="45"/>
    </w:p>
    <w:p w14:paraId="385CA1B8" w14:textId="77777777" w:rsidR="00EB06D9" w:rsidRPr="00282BFE" w:rsidRDefault="00EB06D9" w:rsidP="00EB06D9">
      <w:pPr>
        <w:spacing w:before="120" w:after="120"/>
        <w:ind w:left="360" w:right="14"/>
        <w:jc w:val="both"/>
        <w:rPr>
          <w:rFonts w:asciiTheme="minorHAnsi" w:hAnsiTheme="minorHAnsi"/>
          <w:b/>
          <w:iCs/>
          <w:sz w:val="24"/>
        </w:rPr>
      </w:pPr>
      <w:r w:rsidRPr="00282BFE">
        <w:rPr>
          <w:rFonts w:asciiTheme="minorHAnsi" w:hAnsiTheme="minorHAnsi"/>
          <w:sz w:val="24"/>
        </w:rPr>
        <w:t>The Voyager Tuition Assistance Program (Voyager) was implemented in the Fall of 2005 in response to a direct gubernatorial request and is intended for National Guard and Reservists who have been in an area of hostility since 9/11.</w:t>
      </w:r>
    </w:p>
    <w:p w14:paraId="54B4F1ED" w14:textId="3D30A730" w:rsidR="00EB06D9" w:rsidRPr="00282BFE" w:rsidRDefault="00EB06D9" w:rsidP="00EB06D9">
      <w:pPr>
        <w:numPr>
          <w:ilvl w:val="12"/>
          <w:numId w:val="0"/>
        </w:numPr>
        <w:spacing w:before="120" w:after="120"/>
        <w:ind w:left="720" w:right="14"/>
        <w:jc w:val="both"/>
        <w:rPr>
          <w:rFonts w:asciiTheme="minorHAnsi" w:hAnsiTheme="minorHAnsi"/>
          <w:sz w:val="24"/>
        </w:rPr>
      </w:pPr>
      <w:r w:rsidRPr="00282BFE">
        <w:rPr>
          <w:rFonts w:asciiTheme="minorHAnsi" w:hAnsiTheme="minorHAnsi"/>
          <w:i/>
          <w:iCs/>
          <w:sz w:val="24"/>
        </w:rPr>
        <w:t xml:space="preserve">Criteria: </w:t>
      </w:r>
      <w:r w:rsidRPr="00282BFE">
        <w:rPr>
          <w:rFonts w:asciiTheme="minorHAnsi" w:hAnsiTheme="minorHAnsi"/>
          <w:sz w:val="24"/>
        </w:rPr>
        <w:t xml:space="preserve">The VOYAGER fee remission </w:t>
      </w:r>
      <w:r>
        <w:rPr>
          <w:rFonts w:asciiTheme="minorHAnsi" w:hAnsiTheme="minorHAnsi"/>
          <w:sz w:val="24"/>
        </w:rPr>
        <w:t>is</w:t>
      </w:r>
      <w:r w:rsidRPr="00282BFE">
        <w:rPr>
          <w:rFonts w:asciiTheme="minorHAnsi" w:hAnsiTheme="minorHAnsi"/>
          <w:sz w:val="24"/>
        </w:rPr>
        <w:t xml:space="preserve"> for Oregon residents (</w:t>
      </w:r>
      <w:r w:rsidR="000D2D52">
        <w:rPr>
          <w:rFonts w:asciiTheme="minorHAnsi" w:hAnsiTheme="minorHAnsi"/>
          <w:sz w:val="24"/>
        </w:rPr>
        <w:t>Comprehensive Agreement</w:t>
      </w:r>
      <w:r w:rsidRPr="00282BFE">
        <w:rPr>
          <w:rFonts w:asciiTheme="minorHAnsi" w:hAnsiTheme="minorHAnsi"/>
          <w:sz w:val="24"/>
        </w:rPr>
        <w:t>) who are members of the National Guard or Reserves and were deployed in an area of military combat since September 11, 2001. This fee remission is for full-time students pursuing their initial bachelor’s degree. Students must submit a Free Application for Federal Student Assistance</w:t>
      </w:r>
      <w:r>
        <w:rPr>
          <w:rFonts w:asciiTheme="minorHAnsi" w:hAnsiTheme="minorHAnsi"/>
          <w:sz w:val="24"/>
        </w:rPr>
        <w:t xml:space="preserve"> (FAFSA)</w:t>
      </w:r>
      <w:r w:rsidRPr="00282BFE">
        <w:rPr>
          <w:rFonts w:asciiTheme="minorHAnsi" w:hAnsiTheme="minorHAnsi"/>
          <w:sz w:val="24"/>
        </w:rPr>
        <w:t xml:space="preserve"> annually and continue to maintain satisfactory academic progress to maintain eligibility.</w:t>
      </w:r>
    </w:p>
    <w:p w14:paraId="3CB1E205" w14:textId="77777777" w:rsidR="00EB06D9" w:rsidRPr="00282BFE" w:rsidRDefault="00EB06D9" w:rsidP="00EB06D9">
      <w:pPr>
        <w:numPr>
          <w:ilvl w:val="12"/>
          <w:numId w:val="0"/>
        </w:numPr>
        <w:spacing w:before="120" w:after="120"/>
        <w:ind w:left="720" w:right="14"/>
        <w:jc w:val="both"/>
        <w:rPr>
          <w:rFonts w:asciiTheme="minorHAnsi" w:hAnsiTheme="minorHAnsi"/>
          <w:sz w:val="24"/>
        </w:rPr>
      </w:pPr>
      <w:r w:rsidRPr="00282BFE">
        <w:rPr>
          <w:rFonts w:asciiTheme="minorHAnsi" w:hAnsiTheme="minorHAnsi"/>
          <w:i/>
          <w:iCs/>
          <w:sz w:val="24"/>
        </w:rPr>
        <w:t xml:space="preserve">Awards: </w:t>
      </w:r>
      <w:r w:rsidRPr="00282BFE">
        <w:rPr>
          <w:rFonts w:asciiTheme="minorHAnsi" w:hAnsiTheme="minorHAnsi"/>
          <w:sz w:val="24"/>
        </w:rPr>
        <w:t xml:space="preserve">Award is the difference between the National Guard and Reserves tuition benefit of $4,500 and total enrollment fees. Students are responsible for securing the National Guard or Reserves tuition benefit. Duration of the VOYAGER award is four years excepting those five-year degree programs as documented in the campus general catalogs. Students may not earn more than 15 credits above the minimum number of credits required by the degree to maintain eligibility. </w:t>
      </w:r>
    </w:p>
    <w:p w14:paraId="0F38BA41" w14:textId="77777777" w:rsidR="00EB06D9" w:rsidRPr="00282BFE" w:rsidRDefault="00EB06D9" w:rsidP="00EB06D9">
      <w:pPr>
        <w:pStyle w:val="Heading4"/>
        <w:spacing w:after="120"/>
        <w:ind w:left="360"/>
        <w:jc w:val="left"/>
        <w:rPr>
          <w:rFonts w:asciiTheme="minorHAnsi" w:hAnsiTheme="minorHAnsi"/>
          <w:szCs w:val="24"/>
        </w:rPr>
      </w:pPr>
      <w:bookmarkStart w:id="46" w:name="_Toc421521574"/>
      <w:r w:rsidRPr="00282BFE">
        <w:rPr>
          <w:rFonts w:asciiTheme="minorHAnsi" w:hAnsiTheme="minorHAnsi"/>
          <w:szCs w:val="24"/>
        </w:rPr>
        <w:t>Veteran’s Dependent Tuition Waiver</w:t>
      </w:r>
      <w:bookmarkEnd w:id="46"/>
    </w:p>
    <w:p w14:paraId="0E4DFA53" w14:textId="77777777" w:rsidR="00EB06D9" w:rsidRPr="00282BFE" w:rsidRDefault="00EB06D9" w:rsidP="00EB06D9">
      <w:pPr>
        <w:numPr>
          <w:ilvl w:val="12"/>
          <w:numId w:val="0"/>
        </w:numPr>
        <w:spacing w:before="120" w:after="120"/>
        <w:ind w:left="360" w:right="12"/>
        <w:jc w:val="both"/>
        <w:rPr>
          <w:rFonts w:asciiTheme="minorHAnsi" w:hAnsiTheme="minorHAnsi"/>
          <w:sz w:val="24"/>
        </w:rPr>
      </w:pPr>
      <w:r w:rsidRPr="00282BFE">
        <w:rPr>
          <w:rFonts w:asciiTheme="minorHAnsi" w:hAnsiTheme="minorHAnsi"/>
          <w:i/>
          <w:iCs/>
          <w:sz w:val="24"/>
        </w:rPr>
        <w:t xml:space="preserve">Criteria: </w:t>
      </w:r>
      <w:r w:rsidRPr="00282BFE">
        <w:rPr>
          <w:rFonts w:asciiTheme="minorHAnsi" w:hAnsiTheme="minorHAnsi"/>
          <w:iCs/>
          <w:sz w:val="24"/>
        </w:rPr>
        <w:t xml:space="preserve">The Veteran’s Dependent tuition waiver is </w:t>
      </w:r>
      <w:r w:rsidRPr="00282BFE">
        <w:rPr>
          <w:rFonts w:asciiTheme="minorHAnsi" w:hAnsiTheme="minorHAnsi"/>
          <w:sz w:val="24"/>
        </w:rPr>
        <w:t>for qualified students accepted into a baccalaureate or master’s degree program</w:t>
      </w:r>
      <w:r>
        <w:rPr>
          <w:rFonts w:asciiTheme="minorHAnsi" w:hAnsiTheme="minorHAnsi"/>
          <w:sz w:val="24"/>
        </w:rPr>
        <w:t xml:space="preserve"> at a public university</w:t>
      </w:r>
      <w:r w:rsidRPr="00282BFE">
        <w:rPr>
          <w:rFonts w:asciiTheme="minorHAnsi" w:hAnsiTheme="minorHAnsi"/>
          <w:sz w:val="24"/>
        </w:rPr>
        <w:t xml:space="preserve">. </w:t>
      </w:r>
    </w:p>
    <w:p w14:paraId="60890A28" w14:textId="77777777" w:rsidR="00EB06D9" w:rsidRPr="00282BFE" w:rsidRDefault="00EB06D9" w:rsidP="00EB06D9">
      <w:pPr>
        <w:numPr>
          <w:ilvl w:val="12"/>
          <w:numId w:val="0"/>
        </w:numPr>
        <w:spacing w:before="120" w:after="120"/>
        <w:ind w:left="360" w:right="12"/>
        <w:jc w:val="both"/>
        <w:rPr>
          <w:rFonts w:asciiTheme="minorHAnsi" w:hAnsiTheme="minorHAnsi"/>
          <w:sz w:val="24"/>
        </w:rPr>
      </w:pPr>
      <w:r w:rsidRPr="00282BFE">
        <w:rPr>
          <w:rFonts w:asciiTheme="minorHAnsi" w:hAnsiTheme="minorHAnsi"/>
          <w:sz w:val="24"/>
        </w:rPr>
        <w:t xml:space="preserve">A qualified student is a child (includes adopted child or stepchild), spouse, or an un-remarried surviving spouse of a service member or a child of a Purple Heart recipient. </w:t>
      </w:r>
    </w:p>
    <w:p w14:paraId="04578FBB" w14:textId="77777777" w:rsidR="00EB06D9" w:rsidRPr="00282BFE" w:rsidRDefault="00EB06D9" w:rsidP="00EB06D9">
      <w:pPr>
        <w:numPr>
          <w:ilvl w:val="12"/>
          <w:numId w:val="0"/>
        </w:numPr>
        <w:spacing w:before="120" w:after="120"/>
        <w:ind w:left="360" w:right="12"/>
        <w:jc w:val="both"/>
        <w:rPr>
          <w:rFonts w:asciiTheme="minorHAnsi" w:hAnsiTheme="minorHAnsi"/>
          <w:sz w:val="24"/>
        </w:rPr>
      </w:pPr>
      <w:r w:rsidRPr="00282BFE">
        <w:rPr>
          <w:rFonts w:asciiTheme="minorHAnsi" w:hAnsiTheme="minorHAnsi"/>
          <w:sz w:val="24"/>
        </w:rPr>
        <w:t>The service member is one who:</w:t>
      </w:r>
    </w:p>
    <w:p w14:paraId="2E319B54" w14:textId="77777777" w:rsidR="00EB06D9" w:rsidRPr="00282BFE" w:rsidRDefault="00EB06D9" w:rsidP="00EB06D9">
      <w:pPr>
        <w:numPr>
          <w:ilvl w:val="0"/>
          <w:numId w:val="14"/>
        </w:numPr>
        <w:tabs>
          <w:tab w:val="clear" w:pos="882"/>
        </w:tabs>
        <w:spacing w:before="120" w:after="120"/>
        <w:ind w:left="1080" w:right="12"/>
        <w:jc w:val="both"/>
        <w:rPr>
          <w:rFonts w:asciiTheme="minorHAnsi" w:hAnsiTheme="minorHAnsi"/>
          <w:sz w:val="24"/>
        </w:rPr>
      </w:pPr>
      <w:r w:rsidRPr="00282BFE">
        <w:rPr>
          <w:rFonts w:asciiTheme="minorHAnsi" w:hAnsiTheme="minorHAnsi"/>
          <w:sz w:val="24"/>
        </w:rPr>
        <w:t xml:space="preserve">Died on active duty; </w:t>
      </w:r>
    </w:p>
    <w:p w14:paraId="4020A74E" w14:textId="77777777" w:rsidR="00EB06D9" w:rsidRPr="00282BFE" w:rsidRDefault="00EB06D9" w:rsidP="00EB06D9">
      <w:pPr>
        <w:numPr>
          <w:ilvl w:val="0"/>
          <w:numId w:val="14"/>
        </w:numPr>
        <w:tabs>
          <w:tab w:val="clear" w:pos="882"/>
        </w:tabs>
        <w:spacing w:before="120" w:after="120"/>
        <w:ind w:left="1080" w:right="14"/>
        <w:jc w:val="both"/>
        <w:rPr>
          <w:rFonts w:asciiTheme="minorHAnsi" w:hAnsiTheme="minorHAnsi"/>
          <w:sz w:val="24"/>
        </w:rPr>
      </w:pPr>
      <w:r w:rsidRPr="00282BFE">
        <w:rPr>
          <w:rFonts w:asciiTheme="minorHAnsi" w:hAnsiTheme="minorHAnsi"/>
          <w:sz w:val="24"/>
        </w:rPr>
        <w:t xml:space="preserve">Has a 100% total and permanent service-connected disability rating as certified by the United States Department of Veterans Affairs; or </w:t>
      </w:r>
    </w:p>
    <w:p w14:paraId="3FBF213F" w14:textId="77777777" w:rsidR="00EB06D9" w:rsidRPr="00282BFE" w:rsidRDefault="00EB06D9" w:rsidP="00EB06D9">
      <w:pPr>
        <w:numPr>
          <w:ilvl w:val="0"/>
          <w:numId w:val="14"/>
        </w:numPr>
        <w:tabs>
          <w:tab w:val="clear" w:pos="882"/>
        </w:tabs>
        <w:spacing w:before="120" w:after="120"/>
        <w:ind w:left="1080" w:right="12"/>
        <w:jc w:val="both"/>
        <w:rPr>
          <w:rFonts w:asciiTheme="minorHAnsi" w:hAnsiTheme="minorHAnsi"/>
          <w:sz w:val="24"/>
        </w:rPr>
      </w:pPr>
      <w:r w:rsidRPr="00282BFE">
        <w:rPr>
          <w:rFonts w:asciiTheme="minorHAnsi" w:hAnsiTheme="minorHAnsi"/>
          <w:sz w:val="24"/>
        </w:rPr>
        <w:t xml:space="preserve">Died as a result of a military service-connected disability. </w:t>
      </w:r>
    </w:p>
    <w:p w14:paraId="226B336C" w14:textId="77777777" w:rsidR="00EB06D9" w:rsidRPr="00282BFE" w:rsidRDefault="00EB06D9" w:rsidP="00EB06D9">
      <w:pPr>
        <w:keepNext/>
        <w:keepLines/>
        <w:numPr>
          <w:ilvl w:val="12"/>
          <w:numId w:val="0"/>
        </w:numPr>
        <w:spacing w:before="120" w:after="120"/>
        <w:ind w:left="360" w:right="12"/>
        <w:jc w:val="both"/>
        <w:rPr>
          <w:rFonts w:asciiTheme="minorHAnsi" w:hAnsiTheme="minorHAnsi"/>
          <w:sz w:val="24"/>
        </w:rPr>
      </w:pPr>
      <w:r w:rsidRPr="00282BFE">
        <w:rPr>
          <w:rFonts w:asciiTheme="minorHAnsi" w:hAnsiTheme="minorHAnsi"/>
          <w:sz w:val="24"/>
        </w:rPr>
        <w:lastRenderedPageBreak/>
        <w:t>The Purple Heart recipient is a person, alive or deceased, who:</w:t>
      </w:r>
    </w:p>
    <w:p w14:paraId="05A07F4B" w14:textId="77777777" w:rsidR="00EB06D9" w:rsidRPr="00282BFE" w:rsidRDefault="00EB06D9" w:rsidP="00EB06D9">
      <w:pPr>
        <w:pStyle w:val="ListParagraph"/>
        <w:keepNext/>
        <w:keepLines/>
        <w:numPr>
          <w:ilvl w:val="0"/>
          <w:numId w:val="25"/>
        </w:numPr>
        <w:spacing w:before="120" w:after="120"/>
        <w:ind w:left="1080" w:right="14"/>
        <w:jc w:val="both"/>
        <w:rPr>
          <w:rFonts w:asciiTheme="minorHAnsi" w:hAnsiTheme="minorHAnsi"/>
          <w:sz w:val="24"/>
        </w:rPr>
      </w:pPr>
      <w:r w:rsidRPr="00282BFE">
        <w:rPr>
          <w:rFonts w:asciiTheme="minorHAnsi" w:hAnsiTheme="minorHAnsi"/>
          <w:sz w:val="24"/>
        </w:rPr>
        <w:t>Was relieved or discharged from service in the Armed Forces of the United States with either an honorable discharge or a general discharge under honorable conditions; and</w:t>
      </w:r>
    </w:p>
    <w:p w14:paraId="7940178A" w14:textId="77777777" w:rsidR="00EB06D9" w:rsidRPr="00282BFE" w:rsidRDefault="00EB06D9" w:rsidP="00EB06D9">
      <w:pPr>
        <w:pStyle w:val="ListParagraph"/>
        <w:numPr>
          <w:ilvl w:val="0"/>
          <w:numId w:val="25"/>
        </w:numPr>
        <w:spacing w:before="120" w:after="120"/>
        <w:ind w:left="1080" w:right="14"/>
        <w:jc w:val="both"/>
        <w:rPr>
          <w:rFonts w:asciiTheme="minorHAnsi" w:hAnsiTheme="minorHAnsi"/>
          <w:sz w:val="24"/>
        </w:rPr>
      </w:pPr>
      <w:r w:rsidRPr="00282BFE">
        <w:rPr>
          <w:rFonts w:asciiTheme="minorHAnsi" w:hAnsiTheme="minorHAnsi"/>
          <w:sz w:val="24"/>
        </w:rPr>
        <w:t xml:space="preserve">Was awarded the Purple Heart in 2001 or thereafter for wounds received in combat. </w:t>
      </w:r>
    </w:p>
    <w:p w14:paraId="2AD40B49" w14:textId="77777777" w:rsidR="00EB06D9" w:rsidRDefault="00EB06D9" w:rsidP="00EB06D9">
      <w:pPr>
        <w:numPr>
          <w:ilvl w:val="12"/>
          <w:numId w:val="0"/>
        </w:numPr>
        <w:spacing w:before="120" w:after="120"/>
        <w:ind w:left="360" w:right="12"/>
        <w:jc w:val="both"/>
        <w:rPr>
          <w:rFonts w:asciiTheme="minorHAnsi" w:hAnsiTheme="minorHAnsi"/>
          <w:sz w:val="24"/>
        </w:rPr>
      </w:pPr>
    </w:p>
    <w:p w14:paraId="23C1B6A1" w14:textId="77777777" w:rsidR="00EB06D9" w:rsidRPr="00282BFE" w:rsidRDefault="00EB06D9" w:rsidP="00EB06D9">
      <w:pPr>
        <w:numPr>
          <w:ilvl w:val="12"/>
          <w:numId w:val="0"/>
        </w:numPr>
        <w:spacing w:before="120" w:after="120"/>
        <w:ind w:left="360" w:right="12"/>
        <w:jc w:val="both"/>
        <w:rPr>
          <w:rFonts w:asciiTheme="minorHAnsi" w:hAnsiTheme="minorHAnsi"/>
          <w:sz w:val="24"/>
        </w:rPr>
      </w:pPr>
      <w:r w:rsidRPr="00282BFE">
        <w:rPr>
          <w:rFonts w:asciiTheme="minorHAnsi" w:hAnsiTheme="minorHAnsi"/>
          <w:sz w:val="24"/>
        </w:rPr>
        <w:t xml:space="preserve">An eligible child must be 23 years of age or younger at the time the child applies for the waiver. A child who is older than 23 years of age is eligible for a waiver for a master’s degree program if the child: </w:t>
      </w:r>
    </w:p>
    <w:p w14:paraId="5988006D"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 xml:space="preserve">1) </w:t>
      </w:r>
      <w:r w:rsidRPr="00282BFE">
        <w:rPr>
          <w:rFonts w:asciiTheme="minorHAnsi" w:hAnsiTheme="minorHAnsi"/>
          <w:sz w:val="24"/>
        </w:rPr>
        <w:tab/>
        <w:t xml:space="preserve">Applied for and received a waiver for a baccalaureate degree when the child was 23 years of age or younger; and </w:t>
      </w:r>
    </w:p>
    <w:p w14:paraId="51852971"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 xml:space="preserve">2) </w:t>
      </w:r>
      <w:r w:rsidRPr="00282BFE">
        <w:rPr>
          <w:rFonts w:asciiTheme="minorHAnsi" w:hAnsiTheme="minorHAnsi"/>
          <w:sz w:val="24"/>
        </w:rPr>
        <w:tab/>
        <w:t xml:space="preserve">Applied for a master’s program waiver within 12 months of receiving a baccalaureate degree. </w:t>
      </w:r>
    </w:p>
    <w:p w14:paraId="7C93B7B4" w14:textId="0E8AA545" w:rsidR="00EB06D9" w:rsidRPr="00282BFE" w:rsidRDefault="00EB06D9" w:rsidP="00EB06D9">
      <w:pPr>
        <w:numPr>
          <w:ilvl w:val="12"/>
          <w:numId w:val="0"/>
        </w:numPr>
        <w:spacing w:before="120" w:after="120"/>
        <w:ind w:left="360" w:right="12"/>
        <w:jc w:val="both"/>
        <w:rPr>
          <w:rFonts w:asciiTheme="minorHAnsi" w:hAnsiTheme="minorHAnsi"/>
          <w:sz w:val="24"/>
        </w:rPr>
      </w:pPr>
      <w:r w:rsidRPr="00282BFE">
        <w:rPr>
          <w:rFonts w:asciiTheme="minorHAnsi" w:hAnsiTheme="minorHAnsi"/>
          <w:sz w:val="24"/>
        </w:rPr>
        <w:t xml:space="preserve">The qualifying new, transfer, or community college co-enrolled student must meet Oregon residency requirements as stipulated within </w:t>
      </w:r>
      <w:r w:rsidR="000D2D52">
        <w:rPr>
          <w:rFonts w:asciiTheme="minorHAnsi" w:hAnsiTheme="minorHAnsi"/>
          <w:sz w:val="24"/>
        </w:rPr>
        <w:t>Comprehensive Agreement</w:t>
      </w:r>
      <w:r w:rsidRPr="00282BFE">
        <w:rPr>
          <w:rFonts w:asciiTheme="minorHAnsi" w:hAnsiTheme="minorHAnsi"/>
          <w:sz w:val="24"/>
        </w:rPr>
        <w:t>, which generally describes an Oregon resident as a person with a bona fide fixed and permanent physical presence established and maintained in Oregon of not less than 12 consecutive months immediately prior to the term of entry.</w:t>
      </w:r>
    </w:p>
    <w:p w14:paraId="49FB648F" w14:textId="77777777" w:rsidR="00EB06D9" w:rsidRPr="00282BFE" w:rsidRDefault="00EB06D9" w:rsidP="00EB06D9">
      <w:pPr>
        <w:numPr>
          <w:ilvl w:val="12"/>
          <w:numId w:val="0"/>
        </w:numPr>
        <w:spacing w:before="120" w:after="120"/>
        <w:ind w:left="360" w:right="12"/>
        <w:jc w:val="both"/>
        <w:rPr>
          <w:rFonts w:asciiTheme="minorHAnsi" w:hAnsiTheme="minorHAnsi"/>
          <w:sz w:val="24"/>
        </w:rPr>
      </w:pPr>
      <w:r w:rsidRPr="00282BFE">
        <w:rPr>
          <w:rFonts w:asciiTheme="minorHAnsi" w:hAnsiTheme="minorHAnsi"/>
          <w:i/>
          <w:iCs/>
          <w:sz w:val="24"/>
        </w:rPr>
        <w:t xml:space="preserve">Awards: </w:t>
      </w:r>
      <w:r w:rsidRPr="00282BFE">
        <w:rPr>
          <w:rFonts w:asciiTheme="minorHAnsi" w:hAnsiTheme="minorHAnsi"/>
          <w:sz w:val="24"/>
        </w:rPr>
        <w:t xml:space="preserve">The award may be granted for credit hours for courses that are offered at an eligible post-secondary institution. The award does not cover other mandatory enrollment and course specific fees. The maximum waiver granted under this remission program shall be: </w:t>
      </w:r>
    </w:p>
    <w:p w14:paraId="4C4D98A4"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 xml:space="preserve">1) </w:t>
      </w:r>
      <w:r w:rsidRPr="00282BFE">
        <w:rPr>
          <w:rFonts w:asciiTheme="minorHAnsi" w:hAnsiTheme="minorHAnsi"/>
          <w:sz w:val="24"/>
        </w:rPr>
        <w:tab/>
        <w:t xml:space="preserve">The total number of attempted credit hours equal to four years of full-time attendance for a baccalaureate degree; and </w:t>
      </w:r>
    </w:p>
    <w:p w14:paraId="57E5AB7C" w14:textId="77777777" w:rsidR="00EB06D9" w:rsidRPr="00282BFE" w:rsidRDefault="00EB06D9" w:rsidP="00EB06D9">
      <w:pPr>
        <w:numPr>
          <w:ilvl w:val="12"/>
          <w:numId w:val="0"/>
        </w:numPr>
        <w:spacing w:before="120" w:after="120"/>
        <w:ind w:left="1080" w:right="14" w:hanging="360"/>
        <w:jc w:val="both"/>
        <w:rPr>
          <w:rFonts w:asciiTheme="minorHAnsi" w:hAnsiTheme="minorHAnsi"/>
          <w:sz w:val="24"/>
        </w:rPr>
      </w:pPr>
      <w:r w:rsidRPr="00282BFE">
        <w:rPr>
          <w:rFonts w:asciiTheme="minorHAnsi" w:hAnsiTheme="minorHAnsi"/>
          <w:sz w:val="24"/>
        </w:rPr>
        <w:t xml:space="preserve">2) </w:t>
      </w:r>
      <w:r w:rsidRPr="00282BFE">
        <w:rPr>
          <w:rFonts w:asciiTheme="minorHAnsi" w:hAnsiTheme="minorHAnsi"/>
          <w:sz w:val="24"/>
        </w:rPr>
        <w:tab/>
        <w:t xml:space="preserve">The total number of attempted credit hours equal to two years of full-time attendance for a master’s degree. </w:t>
      </w:r>
    </w:p>
    <w:p w14:paraId="20F0A112"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sz w:val="24"/>
        </w:rPr>
        <w:t xml:space="preserve">Notwithstanding sections 1 and 2 of this paragraph, a waiver may not exceed the total number of credit hours the qualified student needs to graduate with a baccalaureate or a master’s degree. Transferred credit hours accepted for a degree program may or may not count toward the total credit hours needed for degree completion. </w:t>
      </w:r>
    </w:p>
    <w:p w14:paraId="4A5FEE07"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The amount of tuition waived may be reduced by the amount of any federal aid scholarships or grants, awards from the Oregon Opportunity Grant program established under ORS 348.205, or any other aid from the eligible post-secondary institution, received by the qualified student.</w:t>
      </w:r>
    </w:p>
    <w:p w14:paraId="5D3B6F1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sz w:val="24"/>
        </w:rPr>
        <w:t>The amount of tuition waived may not be reduced by the amount of any Survivors’ and Dependents’ Educational Assistance under 38 U.S.C. Chapter 35 paid to a qualified student.</w:t>
      </w:r>
    </w:p>
    <w:p w14:paraId="4C228CF1"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sz w:val="24"/>
        </w:rPr>
        <w:t>Awards to children of Purple Heart recipients apply only to students admitted as new but not continuing for Fall 2013 or thereafter.</w:t>
      </w:r>
    </w:p>
    <w:p w14:paraId="6485D87C" w14:textId="77F310D2" w:rsidR="00EB06D9" w:rsidRPr="00282BFE" w:rsidRDefault="00EB06D9" w:rsidP="00EB06D9">
      <w:pPr>
        <w:spacing w:before="120" w:after="120"/>
        <w:ind w:left="360" w:right="12"/>
        <w:rPr>
          <w:rFonts w:asciiTheme="minorHAnsi" w:hAnsiTheme="minorHAnsi"/>
          <w:i/>
          <w:sz w:val="24"/>
        </w:rPr>
      </w:pPr>
      <w:r w:rsidRPr="00282BFE">
        <w:rPr>
          <w:rFonts w:asciiTheme="minorHAnsi" w:hAnsiTheme="minorHAnsi"/>
          <w:i/>
          <w:sz w:val="24"/>
        </w:rPr>
        <w:t xml:space="preserve">Statutory Authority: ORS </w:t>
      </w:r>
      <w:r w:rsidR="000D2D52">
        <w:rPr>
          <w:rFonts w:asciiTheme="minorHAnsi" w:hAnsiTheme="minorHAnsi"/>
          <w:i/>
          <w:sz w:val="24"/>
        </w:rPr>
        <w:t>350.285</w:t>
      </w:r>
      <w:r w:rsidRPr="00282BFE">
        <w:rPr>
          <w:rFonts w:asciiTheme="minorHAnsi" w:hAnsiTheme="minorHAnsi"/>
          <w:i/>
          <w:sz w:val="24"/>
        </w:rPr>
        <w:t xml:space="preserve"> Waiver of tuition for family members of deceased veterans; limits on waiver; conditions</w:t>
      </w:r>
    </w:p>
    <w:p w14:paraId="7DCEEC34" w14:textId="77777777" w:rsidR="00EB06D9" w:rsidRPr="00282BFE" w:rsidRDefault="00EB06D9" w:rsidP="00EB06D9">
      <w:pPr>
        <w:pStyle w:val="Heading4"/>
        <w:spacing w:after="120"/>
        <w:ind w:left="360"/>
        <w:jc w:val="left"/>
        <w:rPr>
          <w:rFonts w:asciiTheme="minorHAnsi" w:hAnsiTheme="minorHAnsi"/>
          <w:szCs w:val="24"/>
        </w:rPr>
      </w:pPr>
      <w:bookmarkStart w:id="47" w:name="_Toc421521575"/>
      <w:r w:rsidRPr="00282BFE">
        <w:rPr>
          <w:rFonts w:asciiTheme="minorHAnsi" w:hAnsiTheme="minorHAnsi"/>
          <w:szCs w:val="24"/>
        </w:rPr>
        <w:t>Nonresident Veteran Fee Remission</w:t>
      </w:r>
      <w:bookmarkEnd w:id="47"/>
      <w:r w:rsidRPr="00282BFE">
        <w:rPr>
          <w:rFonts w:asciiTheme="minorHAnsi" w:hAnsiTheme="minorHAnsi"/>
          <w:szCs w:val="24"/>
        </w:rPr>
        <w:t xml:space="preserve"> </w:t>
      </w:r>
    </w:p>
    <w:p w14:paraId="06487AF5" w14:textId="77777777" w:rsidR="00EB06D9" w:rsidRPr="00282BFE" w:rsidRDefault="00EB06D9" w:rsidP="00EB06D9">
      <w:pPr>
        <w:numPr>
          <w:ilvl w:val="12"/>
          <w:numId w:val="0"/>
        </w:numPr>
        <w:spacing w:before="120" w:after="120"/>
        <w:ind w:left="360" w:right="14"/>
        <w:jc w:val="both"/>
        <w:rPr>
          <w:rFonts w:asciiTheme="minorHAnsi" w:hAnsiTheme="minorHAnsi"/>
          <w:i/>
          <w:iCs/>
          <w:sz w:val="24"/>
        </w:rPr>
      </w:pPr>
      <w:r w:rsidRPr="00282BFE">
        <w:rPr>
          <w:rFonts w:asciiTheme="minorHAnsi" w:hAnsiTheme="minorHAnsi"/>
          <w:iCs/>
          <w:sz w:val="24"/>
        </w:rPr>
        <w:t xml:space="preserve">As required by Law, every </w:t>
      </w:r>
      <w:r>
        <w:rPr>
          <w:rFonts w:asciiTheme="minorHAnsi" w:hAnsiTheme="minorHAnsi"/>
          <w:sz w:val="24"/>
        </w:rPr>
        <w:t>public university</w:t>
      </w:r>
      <w:r w:rsidRPr="00282BFE">
        <w:rPr>
          <w:rFonts w:asciiTheme="minorHAnsi" w:hAnsiTheme="minorHAnsi"/>
          <w:iCs/>
          <w:sz w:val="24"/>
        </w:rPr>
        <w:t xml:space="preserve"> shall participate to the fullest extent allowed in the federal educational assistance programs under the Supplemental Appropriations Act of 2008 (e.g., Post 9/11 G.I. Bill and its component Yellow Ribbon Program), so as to reduce the overall tuition rate for students eligible under this policy. </w:t>
      </w:r>
    </w:p>
    <w:p w14:paraId="25A1CA6B" w14:textId="77777777" w:rsidR="00EB06D9" w:rsidRPr="00282BFE" w:rsidRDefault="00EB06D9" w:rsidP="00EB06D9">
      <w:pPr>
        <w:numPr>
          <w:ilvl w:val="12"/>
          <w:numId w:val="0"/>
        </w:numPr>
        <w:spacing w:before="120" w:after="120"/>
        <w:ind w:left="360" w:right="12"/>
        <w:jc w:val="both"/>
        <w:rPr>
          <w:rFonts w:asciiTheme="minorHAnsi" w:hAnsiTheme="minorHAnsi"/>
          <w:sz w:val="24"/>
        </w:rPr>
      </w:pPr>
      <w:r w:rsidRPr="00282BFE">
        <w:rPr>
          <w:rFonts w:asciiTheme="minorHAnsi" w:hAnsiTheme="minorHAnsi"/>
          <w:i/>
          <w:iCs/>
          <w:sz w:val="24"/>
        </w:rPr>
        <w:lastRenderedPageBreak/>
        <w:t xml:space="preserve">Criteria: </w:t>
      </w:r>
      <w:r w:rsidRPr="00282BFE">
        <w:rPr>
          <w:rFonts w:asciiTheme="minorHAnsi" w:hAnsiTheme="minorHAnsi"/>
          <w:iCs/>
          <w:sz w:val="24"/>
        </w:rPr>
        <w:t xml:space="preserve">The Nonresident Veteran Fee Remission is a tuition and fee reduction </w:t>
      </w:r>
      <w:r w:rsidRPr="00282BFE">
        <w:rPr>
          <w:rFonts w:asciiTheme="minorHAnsi" w:hAnsiTheme="minorHAnsi"/>
          <w:sz w:val="24"/>
        </w:rPr>
        <w:t xml:space="preserve">for qualified students who are attending classes as an admitted </w:t>
      </w:r>
      <w:r>
        <w:rPr>
          <w:rFonts w:asciiTheme="minorHAnsi" w:hAnsiTheme="minorHAnsi"/>
          <w:sz w:val="24"/>
        </w:rPr>
        <w:t>undergraduate</w:t>
      </w:r>
      <w:r w:rsidRPr="00282BFE">
        <w:rPr>
          <w:rFonts w:asciiTheme="minorHAnsi" w:hAnsiTheme="minorHAnsi"/>
          <w:sz w:val="24"/>
        </w:rPr>
        <w:t xml:space="preserve"> </w:t>
      </w:r>
      <w:r w:rsidRPr="001111CE">
        <w:rPr>
          <w:rFonts w:asciiTheme="minorHAnsi" w:hAnsiTheme="minorHAnsi"/>
          <w:sz w:val="24"/>
        </w:rPr>
        <w:t xml:space="preserve">or graduate </w:t>
      </w:r>
      <w:r w:rsidRPr="00282BFE">
        <w:rPr>
          <w:rFonts w:asciiTheme="minorHAnsi" w:hAnsiTheme="minorHAnsi"/>
          <w:sz w:val="24"/>
        </w:rPr>
        <w:t xml:space="preserve">at </w:t>
      </w:r>
      <w:r>
        <w:rPr>
          <w:rFonts w:asciiTheme="minorHAnsi" w:hAnsiTheme="minorHAnsi"/>
          <w:sz w:val="24"/>
        </w:rPr>
        <w:t>a public university</w:t>
      </w:r>
      <w:r w:rsidRPr="00282BFE">
        <w:rPr>
          <w:rFonts w:asciiTheme="minorHAnsi" w:hAnsiTheme="minorHAnsi"/>
          <w:sz w:val="24"/>
        </w:rPr>
        <w:t xml:space="preserve">, </w:t>
      </w:r>
      <w:r>
        <w:rPr>
          <w:rFonts w:asciiTheme="minorHAnsi" w:hAnsiTheme="minorHAnsi"/>
          <w:sz w:val="24"/>
        </w:rPr>
        <w:t>and who meet one of the following sets of criteria</w:t>
      </w:r>
      <w:r w:rsidRPr="00282BFE">
        <w:rPr>
          <w:rFonts w:asciiTheme="minorHAnsi" w:hAnsiTheme="minorHAnsi"/>
          <w:sz w:val="24"/>
        </w:rPr>
        <w:t>:</w:t>
      </w:r>
    </w:p>
    <w:p w14:paraId="6FE6481C" w14:textId="77777777" w:rsidR="00EB06D9" w:rsidRPr="00995701" w:rsidRDefault="00EB06D9" w:rsidP="00EB06D9">
      <w:pPr>
        <w:pStyle w:val="ListParagraph"/>
        <w:numPr>
          <w:ilvl w:val="0"/>
          <w:numId w:val="26"/>
        </w:numPr>
        <w:spacing w:before="120" w:after="120"/>
        <w:ind w:right="14"/>
        <w:jc w:val="both"/>
        <w:rPr>
          <w:rFonts w:asciiTheme="minorHAnsi" w:hAnsiTheme="minorHAnsi"/>
          <w:sz w:val="24"/>
        </w:rPr>
      </w:pPr>
      <w:r w:rsidRPr="00995701">
        <w:rPr>
          <w:rFonts w:asciiTheme="minorHAnsi" w:hAnsiTheme="minorHAnsi"/>
          <w:sz w:val="24"/>
        </w:rPr>
        <w:t>Is not an Oregon resident and:</w:t>
      </w:r>
    </w:p>
    <w:p w14:paraId="706947B7" w14:textId="77777777" w:rsidR="00EB06D9" w:rsidRPr="00282BFE" w:rsidRDefault="00EB06D9" w:rsidP="00EB06D9">
      <w:pPr>
        <w:pStyle w:val="ListParagraph"/>
        <w:numPr>
          <w:ilvl w:val="1"/>
          <w:numId w:val="26"/>
        </w:numPr>
        <w:spacing w:before="120" w:after="120"/>
        <w:ind w:right="14"/>
        <w:jc w:val="both"/>
        <w:rPr>
          <w:rFonts w:asciiTheme="minorHAnsi" w:hAnsiTheme="minorHAnsi"/>
          <w:sz w:val="24"/>
        </w:rPr>
      </w:pPr>
      <w:r w:rsidRPr="00282BFE">
        <w:rPr>
          <w:rFonts w:asciiTheme="minorHAnsi" w:hAnsiTheme="minorHAnsi"/>
          <w:sz w:val="24"/>
        </w:rPr>
        <w:t>Served in the Armed Forces of the United States;</w:t>
      </w:r>
    </w:p>
    <w:p w14:paraId="11F126E7" w14:textId="77777777" w:rsidR="00EB06D9" w:rsidRPr="00282BFE" w:rsidRDefault="00EB06D9" w:rsidP="00EB06D9">
      <w:pPr>
        <w:pStyle w:val="ListParagraph"/>
        <w:numPr>
          <w:ilvl w:val="1"/>
          <w:numId w:val="26"/>
        </w:numPr>
        <w:spacing w:before="120" w:after="120"/>
        <w:ind w:right="14"/>
        <w:jc w:val="both"/>
        <w:rPr>
          <w:rFonts w:asciiTheme="minorHAnsi" w:hAnsiTheme="minorHAnsi"/>
          <w:sz w:val="24"/>
        </w:rPr>
      </w:pPr>
      <w:r w:rsidRPr="00282BFE">
        <w:rPr>
          <w:rFonts w:asciiTheme="minorHAnsi" w:hAnsiTheme="minorHAnsi"/>
          <w:sz w:val="24"/>
        </w:rPr>
        <w:t xml:space="preserve">Was relieved or discharged from that service with either an honorable discharge or a general discharge under honorable conditions as shown on an original or certified copy of the student’s DD-214; and </w:t>
      </w:r>
    </w:p>
    <w:p w14:paraId="6B6E234A" w14:textId="77777777" w:rsidR="00EB06D9" w:rsidRDefault="00EB06D9" w:rsidP="00EB06D9">
      <w:pPr>
        <w:pStyle w:val="ListParagraph"/>
        <w:numPr>
          <w:ilvl w:val="1"/>
          <w:numId w:val="26"/>
        </w:numPr>
        <w:spacing w:before="120" w:after="120"/>
        <w:ind w:right="14"/>
        <w:jc w:val="both"/>
        <w:rPr>
          <w:rFonts w:asciiTheme="minorHAnsi" w:hAnsiTheme="minorHAnsi"/>
          <w:sz w:val="24"/>
        </w:rPr>
      </w:pPr>
      <w:r w:rsidRPr="00282BFE">
        <w:rPr>
          <w:rFonts w:asciiTheme="minorHAnsi" w:hAnsiTheme="minorHAnsi"/>
          <w:sz w:val="24"/>
        </w:rPr>
        <w:t>Provides proof that the student has established a physical presence in Oregon within 12 months of being enrolled at</w:t>
      </w:r>
      <w:r>
        <w:rPr>
          <w:rFonts w:asciiTheme="minorHAnsi" w:hAnsiTheme="minorHAnsi"/>
          <w:sz w:val="24"/>
        </w:rPr>
        <w:t xml:space="preserve"> one of the public universities.</w:t>
      </w:r>
    </w:p>
    <w:p w14:paraId="7B4CB0A3" w14:textId="77777777" w:rsidR="00EB06D9" w:rsidRPr="00DA6CA1" w:rsidRDefault="00EB06D9" w:rsidP="00EB06D9">
      <w:pPr>
        <w:spacing w:before="120" w:after="120"/>
        <w:ind w:left="720" w:right="14"/>
        <w:jc w:val="both"/>
        <w:rPr>
          <w:rFonts w:asciiTheme="minorHAnsi" w:hAnsiTheme="minorHAnsi"/>
          <w:sz w:val="24"/>
        </w:rPr>
      </w:pPr>
      <w:r w:rsidRPr="00DA6CA1">
        <w:rPr>
          <w:rFonts w:asciiTheme="minorHAnsi" w:hAnsiTheme="minorHAnsi"/>
          <w:sz w:val="24"/>
        </w:rPr>
        <w:t>OR</w:t>
      </w:r>
    </w:p>
    <w:p w14:paraId="482146A4" w14:textId="77777777" w:rsidR="00EB06D9" w:rsidRPr="00ED22DE" w:rsidRDefault="00EB06D9" w:rsidP="00EB06D9">
      <w:pPr>
        <w:pStyle w:val="ListParagraph"/>
        <w:numPr>
          <w:ilvl w:val="0"/>
          <w:numId w:val="26"/>
        </w:numPr>
        <w:spacing w:before="120" w:after="120"/>
        <w:ind w:right="14"/>
        <w:jc w:val="both"/>
        <w:rPr>
          <w:rFonts w:asciiTheme="minorHAnsi" w:hAnsiTheme="minorHAnsi"/>
          <w:sz w:val="24"/>
        </w:rPr>
      </w:pPr>
      <w:r w:rsidRPr="00ED22DE">
        <w:rPr>
          <w:rFonts w:asciiTheme="minorHAnsi" w:hAnsiTheme="minorHAnsi"/>
          <w:sz w:val="24"/>
        </w:rPr>
        <w:t xml:space="preserve">Was </w:t>
      </w:r>
      <w:r>
        <w:rPr>
          <w:rFonts w:asciiTheme="minorHAnsi" w:hAnsiTheme="minorHAnsi"/>
          <w:sz w:val="24"/>
        </w:rPr>
        <w:t xml:space="preserve">a </w:t>
      </w:r>
      <w:r w:rsidRPr="00ED22DE">
        <w:rPr>
          <w:rFonts w:asciiTheme="minorHAnsi" w:hAnsiTheme="minorHAnsi"/>
          <w:sz w:val="24"/>
        </w:rPr>
        <w:t xml:space="preserve">resident of Oregon who left the state within the </w:t>
      </w:r>
      <w:r w:rsidRPr="00ED22DE">
        <w:rPr>
          <w:rFonts w:asciiTheme="minorHAnsi" w:hAnsiTheme="minorHAnsi" w:cstheme="minorHAnsi"/>
          <w:sz w:val="24"/>
        </w:rPr>
        <w:t>previous five years in order to serve, and who subsequently served, in the Armed Forces of the United States or in an international position with the state, federal government or a humanitarian aid organization</w:t>
      </w:r>
      <w:r>
        <w:rPr>
          <w:rFonts w:asciiTheme="minorHAnsi" w:hAnsiTheme="minorHAnsi" w:cstheme="minorHAnsi"/>
          <w:sz w:val="24"/>
        </w:rPr>
        <w:t>.</w:t>
      </w:r>
      <w:r w:rsidRPr="00ED22DE">
        <w:rPr>
          <w:rFonts w:asciiTheme="minorHAnsi" w:hAnsiTheme="minorHAnsi" w:cstheme="minorHAnsi"/>
          <w:sz w:val="24"/>
        </w:rPr>
        <w:t xml:space="preserve"> </w:t>
      </w:r>
    </w:p>
    <w:p w14:paraId="3F9FCAEF" w14:textId="77777777" w:rsidR="00EB06D9" w:rsidRPr="00DA6CA1" w:rsidRDefault="00EB06D9" w:rsidP="00EB06D9">
      <w:pPr>
        <w:spacing w:before="120" w:after="120"/>
        <w:ind w:left="720" w:right="14"/>
        <w:jc w:val="both"/>
        <w:rPr>
          <w:rFonts w:asciiTheme="minorHAnsi" w:hAnsiTheme="minorHAnsi"/>
          <w:sz w:val="24"/>
        </w:rPr>
      </w:pPr>
      <w:r>
        <w:rPr>
          <w:rFonts w:asciiTheme="minorHAnsi" w:hAnsiTheme="minorHAnsi" w:cstheme="minorHAnsi"/>
          <w:sz w:val="24"/>
        </w:rPr>
        <w:t>OR</w:t>
      </w:r>
      <w:r w:rsidRPr="00DA6CA1">
        <w:rPr>
          <w:rFonts w:asciiTheme="minorHAnsi" w:hAnsiTheme="minorHAnsi" w:cstheme="minorHAnsi"/>
          <w:sz w:val="24"/>
        </w:rPr>
        <w:t xml:space="preserve"> </w:t>
      </w:r>
    </w:p>
    <w:p w14:paraId="703905FE" w14:textId="77777777" w:rsidR="00EB06D9" w:rsidRPr="00ED22DE" w:rsidRDefault="00EB06D9" w:rsidP="00EB06D9">
      <w:pPr>
        <w:pStyle w:val="ListParagraph"/>
        <w:numPr>
          <w:ilvl w:val="0"/>
          <w:numId w:val="26"/>
        </w:numPr>
        <w:spacing w:before="120" w:after="120"/>
        <w:ind w:right="14"/>
        <w:jc w:val="both"/>
        <w:rPr>
          <w:rFonts w:asciiTheme="minorHAnsi" w:hAnsiTheme="minorHAnsi"/>
          <w:sz w:val="24"/>
        </w:rPr>
      </w:pPr>
      <w:r w:rsidRPr="00ED22DE">
        <w:rPr>
          <w:rFonts w:asciiTheme="minorHAnsi" w:hAnsiTheme="minorHAnsi" w:cstheme="minorHAnsi"/>
          <w:sz w:val="24"/>
        </w:rPr>
        <w:t>Was a resident of Oregon who left the state more than five years ago in order to serve, and who subsequently served, in the Armed Forces of the United States or in an international position with the state, federal government or a humanitarian aid organization and never established residence in another state.</w:t>
      </w:r>
    </w:p>
    <w:p w14:paraId="56A7D2F0" w14:textId="77777777" w:rsidR="00EB06D9" w:rsidRDefault="00EB06D9" w:rsidP="00EB06D9">
      <w:pPr>
        <w:numPr>
          <w:ilvl w:val="12"/>
          <w:numId w:val="0"/>
        </w:numPr>
        <w:spacing w:before="120" w:after="120"/>
        <w:ind w:left="360" w:right="14"/>
        <w:jc w:val="both"/>
        <w:rPr>
          <w:rFonts w:asciiTheme="minorHAnsi" w:hAnsiTheme="minorHAnsi"/>
          <w:iCs/>
          <w:sz w:val="24"/>
        </w:rPr>
      </w:pPr>
      <w:r w:rsidRPr="00282BFE">
        <w:rPr>
          <w:rFonts w:asciiTheme="minorHAnsi" w:hAnsiTheme="minorHAnsi"/>
          <w:i/>
          <w:iCs/>
          <w:sz w:val="24"/>
        </w:rPr>
        <w:t xml:space="preserve">Award: </w:t>
      </w:r>
      <w:r w:rsidRPr="001111CE">
        <w:rPr>
          <w:rFonts w:asciiTheme="minorHAnsi" w:hAnsiTheme="minorHAnsi"/>
          <w:iCs/>
          <w:sz w:val="24"/>
        </w:rPr>
        <w:t xml:space="preserve">Qualified </w:t>
      </w:r>
      <w:r w:rsidRPr="001111CE">
        <w:rPr>
          <w:rFonts w:asciiTheme="minorHAnsi" w:hAnsiTheme="minorHAnsi"/>
          <w:b/>
          <w:iCs/>
          <w:sz w:val="24"/>
        </w:rPr>
        <w:t>undergraduate</w:t>
      </w:r>
      <w:r w:rsidRPr="001111CE">
        <w:rPr>
          <w:rFonts w:asciiTheme="minorHAnsi" w:hAnsiTheme="minorHAnsi"/>
          <w:iCs/>
          <w:sz w:val="24"/>
        </w:rPr>
        <w:t xml:space="preserve"> </w:t>
      </w:r>
      <w:r w:rsidRPr="00F959ED">
        <w:rPr>
          <w:rFonts w:asciiTheme="minorHAnsi" w:hAnsiTheme="minorHAnsi"/>
          <w:iCs/>
          <w:sz w:val="24"/>
        </w:rPr>
        <w:t>students</w:t>
      </w:r>
      <w:r w:rsidRPr="00282BFE">
        <w:rPr>
          <w:rFonts w:asciiTheme="minorHAnsi" w:hAnsiTheme="minorHAnsi"/>
          <w:iCs/>
          <w:sz w:val="24"/>
        </w:rPr>
        <w:t xml:space="preserve"> </w:t>
      </w:r>
      <w:r>
        <w:rPr>
          <w:rFonts w:asciiTheme="minorHAnsi" w:hAnsiTheme="minorHAnsi"/>
          <w:iCs/>
          <w:sz w:val="24"/>
        </w:rPr>
        <w:t xml:space="preserve">who meet criteria 1 and are </w:t>
      </w:r>
      <w:r w:rsidRPr="00282BFE">
        <w:rPr>
          <w:rFonts w:asciiTheme="minorHAnsi" w:hAnsiTheme="minorHAnsi"/>
          <w:iCs/>
          <w:sz w:val="24"/>
        </w:rPr>
        <w:t>admitted for enrollment for an academic term p</w:t>
      </w:r>
      <w:r>
        <w:rPr>
          <w:rFonts w:asciiTheme="minorHAnsi" w:hAnsiTheme="minorHAnsi"/>
          <w:iCs/>
          <w:sz w:val="24"/>
        </w:rPr>
        <w:t>rior</w:t>
      </w:r>
      <w:r w:rsidRPr="00282BFE">
        <w:rPr>
          <w:rFonts w:asciiTheme="minorHAnsi" w:hAnsiTheme="minorHAnsi"/>
          <w:iCs/>
          <w:sz w:val="24"/>
        </w:rPr>
        <w:t xml:space="preserve"> to Fall 2013 are charged tuition and fees no greater than the resident rate, plus 50 percent of the difference between the resident tuition and fee total and the nonresident tuition and fee total with the following listed qualifications; students admitted as new but not continuing </w:t>
      </w:r>
      <w:r w:rsidRPr="001111CE">
        <w:rPr>
          <w:rFonts w:asciiTheme="minorHAnsi" w:hAnsiTheme="minorHAnsi"/>
          <w:iCs/>
          <w:sz w:val="24"/>
        </w:rPr>
        <w:t xml:space="preserve">undergraduate </w:t>
      </w:r>
      <w:r w:rsidRPr="00282BFE">
        <w:rPr>
          <w:rFonts w:asciiTheme="minorHAnsi" w:hAnsiTheme="minorHAnsi"/>
          <w:iCs/>
          <w:sz w:val="24"/>
        </w:rPr>
        <w:t>students for the Fall 2013 term or later are charged tuition and fees no greater than the resident rate with the following listed qualifications:</w:t>
      </w:r>
    </w:p>
    <w:p w14:paraId="7F543027" w14:textId="77777777" w:rsidR="00EB06D9" w:rsidRDefault="00EB06D9" w:rsidP="00EB06D9">
      <w:pPr>
        <w:numPr>
          <w:ilvl w:val="12"/>
          <w:numId w:val="0"/>
        </w:numPr>
        <w:spacing w:before="120" w:after="120"/>
        <w:ind w:left="360" w:right="14"/>
        <w:jc w:val="both"/>
        <w:rPr>
          <w:rFonts w:asciiTheme="minorHAnsi" w:hAnsiTheme="minorHAnsi"/>
          <w:iCs/>
          <w:sz w:val="24"/>
        </w:rPr>
      </w:pPr>
      <w:r w:rsidRPr="001111CE">
        <w:rPr>
          <w:rFonts w:asciiTheme="minorHAnsi" w:hAnsiTheme="minorHAnsi"/>
          <w:iCs/>
          <w:sz w:val="24"/>
        </w:rPr>
        <w:t xml:space="preserve">Qualified </w:t>
      </w:r>
      <w:r w:rsidRPr="001111CE">
        <w:rPr>
          <w:rFonts w:asciiTheme="minorHAnsi" w:hAnsiTheme="minorHAnsi"/>
          <w:b/>
          <w:iCs/>
          <w:sz w:val="24"/>
        </w:rPr>
        <w:t>graduate</w:t>
      </w:r>
      <w:r w:rsidRPr="001111CE">
        <w:rPr>
          <w:rFonts w:asciiTheme="minorHAnsi" w:hAnsiTheme="minorHAnsi"/>
          <w:iCs/>
          <w:sz w:val="24"/>
        </w:rPr>
        <w:t xml:space="preserve"> students </w:t>
      </w:r>
      <w:r>
        <w:rPr>
          <w:rFonts w:asciiTheme="minorHAnsi" w:hAnsiTheme="minorHAnsi"/>
          <w:iCs/>
          <w:sz w:val="24"/>
        </w:rPr>
        <w:t xml:space="preserve">who meet criteria 1 and are </w:t>
      </w:r>
      <w:r w:rsidRPr="001111CE">
        <w:rPr>
          <w:rFonts w:asciiTheme="minorHAnsi" w:hAnsiTheme="minorHAnsi"/>
          <w:iCs/>
          <w:sz w:val="24"/>
        </w:rPr>
        <w:t xml:space="preserve">admitted for enrollment for an academic term prior to Fall 2014 are charged tuition and fees no greater than non-resident tuition and fee total with the listed qualifications; students admitted as new but not continuing graduate students for the Fall 2014 term or later are charged tuition and fees no greater than the resident rate with the </w:t>
      </w:r>
      <w:r>
        <w:rPr>
          <w:rFonts w:asciiTheme="minorHAnsi" w:hAnsiTheme="minorHAnsi"/>
          <w:iCs/>
          <w:sz w:val="24"/>
        </w:rPr>
        <w:t>following listed qualifications:</w:t>
      </w:r>
    </w:p>
    <w:p w14:paraId="5BC848BE" w14:textId="77777777" w:rsidR="00EB06D9" w:rsidRPr="001111CE" w:rsidRDefault="00EB06D9" w:rsidP="00EB06D9">
      <w:pPr>
        <w:numPr>
          <w:ilvl w:val="12"/>
          <w:numId w:val="0"/>
        </w:numPr>
        <w:spacing w:before="120" w:after="120"/>
        <w:ind w:left="360" w:right="14"/>
        <w:jc w:val="both"/>
        <w:rPr>
          <w:rFonts w:asciiTheme="minorHAnsi" w:hAnsiTheme="minorHAnsi"/>
          <w:iCs/>
          <w:sz w:val="24"/>
        </w:rPr>
      </w:pPr>
      <w:r w:rsidRPr="001111CE">
        <w:rPr>
          <w:rFonts w:asciiTheme="minorHAnsi" w:hAnsiTheme="minorHAnsi"/>
          <w:iCs/>
          <w:sz w:val="24"/>
        </w:rPr>
        <w:t xml:space="preserve">Qualified </w:t>
      </w:r>
      <w:r w:rsidRPr="001E2874">
        <w:rPr>
          <w:rFonts w:asciiTheme="minorHAnsi" w:hAnsiTheme="minorHAnsi"/>
          <w:b/>
          <w:iCs/>
          <w:sz w:val="24"/>
        </w:rPr>
        <w:t>undergraduate or</w:t>
      </w:r>
      <w:r>
        <w:rPr>
          <w:rFonts w:asciiTheme="minorHAnsi" w:hAnsiTheme="minorHAnsi"/>
          <w:iCs/>
          <w:sz w:val="24"/>
        </w:rPr>
        <w:t xml:space="preserve"> </w:t>
      </w:r>
      <w:r w:rsidRPr="001111CE">
        <w:rPr>
          <w:rFonts w:asciiTheme="minorHAnsi" w:hAnsiTheme="minorHAnsi"/>
          <w:b/>
          <w:iCs/>
          <w:sz w:val="24"/>
        </w:rPr>
        <w:t>graduate</w:t>
      </w:r>
      <w:r w:rsidRPr="001111CE">
        <w:rPr>
          <w:rFonts w:asciiTheme="minorHAnsi" w:hAnsiTheme="minorHAnsi"/>
          <w:iCs/>
          <w:sz w:val="24"/>
        </w:rPr>
        <w:t xml:space="preserve"> students </w:t>
      </w:r>
      <w:r>
        <w:rPr>
          <w:rFonts w:asciiTheme="minorHAnsi" w:hAnsiTheme="minorHAnsi"/>
          <w:iCs/>
          <w:sz w:val="24"/>
        </w:rPr>
        <w:t xml:space="preserve">who meet criteria 2 or 3 and are </w:t>
      </w:r>
      <w:r w:rsidRPr="001111CE">
        <w:rPr>
          <w:rFonts w:asciiTheme="minorHAnsi" w:hAnsiTheme="minorHAnsi"/>
          <w:iCs/>
          <w:sz w:val="24"/>
        </w:rPr>
        <w:t>admitted as new but not continuing students for the Fall 201</w:t>
      </w:r>
      <w:r>
        <w:rPr>
          <w:rFonts w:asciiTheme="minorHAnsi" w:hAnsiTheme="minorHAnsi"/>
          <w:iCs/>
          <w:sz w:val="24"/>
        </w:rPr>
        <w:t>5</w:t>
      </w:r>
      <w:r w:rsidRPr="001111CE">
        <w:rPr>
          <w:rFonts w:asciiTheme="minorHAnsi" w:hAnsiTheme="minorHAnsi"/>
          <w:iCs/>
          <w:sz w:val="24"/>
        </w:rPr>
        <w:t xml:space="preserve"> term or later are charged tuition and fees no greater than the resident rate with the following listed qualifications</w:t>
      </w:r>
      <w:r>
        <w:rPr>
          <w:rFonts w:asciiTheme="minorHAnsi" w:hAnsiTheme="minorHAnsi"/>
          <w:iCs/>
          <w:sz w:val="24"/>
        </w:rPr>
        <w:t>:</w:t>
      </w:r>
    </w:p>
    <w:p w14:paraId="2D9B958A" w14:textId="77777777" w:rsidR="00EB06D9" w:rsidRPr="00282BFE" w:rsidRDefault="00EB06D9" w:rsidP="00EB06D9">
      <w:pPr>
        <w:numPr>
          <w:ilvl w:val="0"/>
          <w:numId w:val="18"/>
        </w:numPr>
        <w:spacing w:after="120"/>
        <w:ind w:left="1080" w:right="14"/>
        <w:jc w:val="both"/>
        <w:rPr>
          <w:rFonts w:asciiTheme="minorHAnsi" w:hAnsiTheme="minorHAnsi"/>
          <w:iCs/>
          <w:sz w:val="24"/>
        </w:rPr>
      </w:pPr>
      <w:r w:rsidRPr="00282BFE">
        <w:rPr>
          <w:rFonts w:asciiTheme="minorHAnsi" w:hAnsiTheme="minorHAnsi"/>
          <w:iCs/>
          <w:sz w:val="24"/>
        </w:rPr>
        <w:t>A student who served in the Armed Forces of the United States</w:t>
      </w:r>
      <w:r>
        <w:rPr>
          <w:rFonts w:asciiTheme="minorHAnsi" w:hAnsiTheme="minorHAnsi"/>
          <w:iCs/>
          <w:sz w:val="24"/>
        </w:rPr>
        <w:t xml:space="preserve"> or in an international position with the state, federal government or a humanitarian aid organization</w:t>
      </w:r>
      <w:r w:rsidRPr="00282BFE">
        <w:rPr>
          <w:rFonts w:asciiTheme="minorHAnsi" w:hAnsiTheme="minorHAnsi"/>
          <w:iCs/>
          <w:sz w:val="24"/>
        </w:rPr>
        <w:t xml:space="preserve"> </w:t>
      </w:r>
      <w:r w:rsidRPr="00282BFE">
        <w:rPr>
          <w:rFonts w:asciiTheme="minorHAnsi" w:hAnsiTheme="minorHAnsi"/>
          <w:i/>
          <w:iCs/>
          <w:sz w:val="24"/>
        </w:rPr>
        <w:t>and</w:t>
      </w:r>
      <w:r w:rsidRPr="00282BFE">
        <w:rPr>
          <w:rFonts w:asciiTheme="minorHAnsi" w:hAnsiTheme="minorHAnsi"/>
          <w:iCs/>
          <w:sz w:val="24"/>
        </w:rPr>
        <w:t xml:space="preserve"> who receives federal tuition benefits in excess of the tuition and fees charged under this policy shall pay tuition and fees equal to the federal tuition benefits received.</w:t>
      </w:r>
    </w:p>
    <w:p w14:paraId="44C493EB" w14:textId="77777777" w:rsidR="00EB06D9" w:rsidRPr="00282BFE" w:rsidRDefault="00EB06D9" w:rsidP="00EB06D9">
      <w:pPr>
        <w:numPr>
          <w:ilvl w:val="0"/>
          <w:numId w:val="18"/>
        </w:numPr>
        <w:spacing w:after="120"/>
        <w:ind w:left="1080" w:right="14"/>
        <w:jc w:val="both"/>
        <w:rPr>
          <w:rFonts w:asciiTheme="minorHAnsi" w:hAnsiTheme="minorHAnsi"/>
          <w:iCs/>
          <w:sz w:val="24"/>
        </w:rPr>
      </w:pPr>
      <w:r w:rsidRPr="00282BFE">
        <w:rPr>
          <w:rFonts w:asciiTheme="minorHAnsi" w:hAnsiTheme="minorHAnsi"/>
          <w:iCs/>
          <w:sz w:val="24"/>
        </w:rPr>
        <w:t xml:space="preserve">Distance education and self-support courses as identified by each </w:t>
      </w:r>
      <w:r>
        <w:rPr>
          <w:rFonts w:asciiTheme="minorHAnsi" w:hAnsiTheme="minorHAnsi"/>
          <w:iCs/>
          <w:sz w:val="24"/>
        </w:rPr>
        <w:t>public university</w:t>
      </w:r>
      <w:r w:rsidRPr="00282BFE">
        <w:rPr>
          <w:rFonts w:asciiTheme="minorHAnsi" w:hAnsiTheme="minorHAnsi"/>
          <w:iCs/>
          <w:sz w:val="24"/>
        </w:rPr>
        <w:t xml:space="preserve"> are excluded from this discount.</w:t>
      </w:r>
    </w:p>
    <w:p w14:paraId="446B6E78" w14:textId="77777777" w:rsidR="00EB06D9" w:rsidRPr="00282BFE" w:rsidRDefault="00EB06D9" w:rsidP="00EB06D9">
      <w:pPr>
        <w:numPr>
          <w:ilvl w:val="0"/>
          <w:numId w:val="18"/>
        </w:numPr>
        <w:spacing w:after="120"/>
        <w:ind w:left="1080" w:right="14"/>
        <w:jc w:val="both"/>
        <w:rPr>
          <w:rFonts w:asciiTheme="minorHAnsi" w:hAnsiTheme="minorHAnsi"/>
          <w:iCs/>
          <w:sz w:val="24"/>
        </w:rPr>
      </w:pPr>
      <w:r w:rsidRPr="00282BFE">
        <w:rPr>
          <w:rFonts w:asciiTheme="minorHAnsi" w:hAnsiTheme="minorHAnsi"/>
          <w:iCs/>
          <w:sz w:val="24"/>
        </w:rPr>
        <w:t xml:space="preserve">If a nonresident student is otherwise eligible for tuition benefits under this discount and receiving federal vocational rehabilitation education benefits, that student shall pay full nonresident tuition and fees charged by the enrolling </w:t>
      </w:r>
      <w:r>
        <w:rPr>
          <w:rFonts w:asciiTheme="minorHAnsi" w:hAnsiTheme="minorHAnsi"/>
          <w:iCs/>
          <w:sz w:val="24"/>
        </w:rPr>
        <w:t>public university</w:t>
      </w:r>
      <w:r w:rsidRPr="00282BFE">
        <w:rPr>
          <w:rFonts w:asciiTheme="minorHAnsi" w:hAnsiTheme="minorHAnsi"/>
          <w:iCs/>
          <w:sz w:val="24"/>
        </w:rPr>
        <w:t>.</w:t>
      </w:r>
    </w:p>
    <w:p w14:paraId="11F20A4C" w14:textId="77777777" w:rsidR="00EB06D9" w:rsidRPr="00282BFE" w:rsidRDefault="00EB06D9" w:rsidP="00EB06D9">
      <w:pPr>
        <w:pStyle w:val="Heading4"/>
        <w:spacing w:after="120"/>
        <w:ind w:left="360"/>
        <w:jc w:val="left"/>
        <w:rPr>
          <w:rFonts w:asciiTheme="minorHAnsi" w:hAnsiTheme="minorHAnsi"/>
          <w:b w:val="0"/>
          <w:szCs w:val="24"/>
        </w:rPr>
      </w:pPr>
      <w:bookmarkStart w:id="48" w:name="_Toc421521576"/>
      <w:r w:rsidRPr="00282BFE">
        <w:rPr>
          <w:rFonts w:asciiTheme="minorHAnsi" w:hAnsiTheme="minorHAnsi"/>
          <w:szCs w:val="24"/>
        </w:rPr>
        <w:lastRenderedPageBreak/>
        <w:t>Foster Youth Tuition Waiver</w:t>
      </w:r>
      <w:bookmarkEnd w:id="48"/>
      <w:r w:rsidRPr="00282BFE">
        <w:rPr>
          <w:rFonts w:asciiTheme="minorHAnsi" w:hAnsiTheme="minorHAnsi"/>
          <w:szCs w:val="24"/>
        </w:rPr>
        <w:t xml:space="preserve"> </w:t>
      </w:r>
    </w:p>
    <w:p w14:paraId="0D81CED1"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The Foster Youth Tuition and Fee Waiver originated with the passage of House Bill 3471 in the 2011 Regular Session of the Oregon Legislative Assembly and is intended to “increase access to higher education for current and former foster children by providing a Tuition and Fee Waiver” to minimize the amount of tuition absorbed by the student. It was further amended by HB 2095 in the 2013 Regular Session to align the definition of “former foster youth” with the federal standard.</w:t>
      </w:r>
    </w:p>
    <w:p w14:paraId="47E7ED29"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 xml:space="preserve"> </w:t>
      </w:r>
      <w:r w:rsidRPr="00282BFE">
        <w:rPr>
          <w:rFonts w:asciiTheme="minorHAnsi" w:hAnsiTheme="minorHAnsi"/>
          <w:i/>
          <w:sz w:val="24"/>
        </w:rPr>
        <w:t xml:space="preserve">Criteria : </w:t>
      </w:r>
      <w:r w:rsidRPr="00282BFE">
        <w:rPr>
          <w:rFonts w:asciiTheme="minorHAnsi" w:hAnsiTheme="minorHAnsi"/>
          <w:sz w:val="24"/>
        </w:rPr>
        <w:t xml:space="preserve">The Foster Youth Tuition and Fee Waiver is open to qualified current and former foster children enrolled as </w:t>
      </w:r>
      <w:r>
        <w:rPr>
          <w:rFonts w:asciiTheme="minorHAnsi" w:hAnsiTheme="minorHAnsi"/>
          <w:sz w:val="24"/>
        </w:rPr>
        <w:t>undergraduate</w:t>
      </w:r>
      <w:r w:rsidRPr="00282BFE">
        <w:rPr>
          <w:rFonts w:asciiTheme="minorHAnsi" w:hAnsiTheme="minorHAnsi"/>
          <w:sz w:val="24"/>
        </w:rPr>
        <w:t xml:space="preserve"> students </w:t>
      </w:r>
      <w:r>
        <w:rPr>
          <w:rFonts w:asciiTheme="minorHAnsi" w:hAnsiTheme="minorHAnsi"/>
          <w:sz w:val="24"/>
        </w:rPr>
        <w:t>in an institution of higher education in Oregon</w:t>
      </w:r>
      <w:r w:rsidRPr="00282BFE">
        <w:rPr>
          <w:rFonts w:asciiTheme="minorHAnsi" w:hAnsiTheme="minorHAnsi"/>
          <w:sz w:val="24"/>
        </w:rPr>
        <w:t xml:space="preserve"> for the purposes of pursuing an initial undergraduate degree (as evidenced by admission into an undergraduate degree program). This program waives tuition and fees for current and former foster youth who enroll prior to reaching 25 years of age until the student receives “the equivalent of four years of </w:t>
      </w:r>
      <w:r>
        <w:rPr>
          <w:rFonts w:asciiTheme="minorHAnsi" w:hAnsiTheme="minorHAnsi"/>
          <w:sz w:val="24"/>
        </w:rPr>
        <w:t>undergraduate</w:t>
      </w:r>
      <w:r w:rsidRPr="00282BFE">
        <w:rPr>
          <w:rFonts w:asciiTheme="minorHAnsi" w:hAnsiTheme="minorHAnsi"/>
          <w:sz w:val="24"/>
        </w:rPr>
        <w:t xml:space="preserve"> education.” </w:t>
      </w:r>
    </w:p>
    <w:p w14:paraId="27821171" w14:textId="77777777" w:rsidR="00EB06D9" w:rsidRPr="00282BFE" w:rsidRDefault="00EB06D9" w:rsidP="00EB06D9">
      <w:pPr>
        <w:keepNext/>
        <w:keepLines/>
        <w:spacing w:before="120" w:after="120"/>
        <w:ind w:left="360" w:right="14"/>
        <w:jc w:val="both"/>
        <w:rPr>
          <w:rFonts w:asciiTheme="minorHAnsi" w:hAnsiTheme="minorHAnsi"/>
          <w:sz w:val="24"/>
        </w:rPr>
      </w:pPr>
      <w:r w:rsidRPr="00282BFE">
        <w:rPr>
          <w:rFonts w:asciiTheme="minorHAnsi" w:hAnsiTheme="minorHAnsi"/>
          <w:sz w:val="24"/>
        </w:rPr>
        <w:t>To qualify for the program, the student must:</w:t>
      </w:r>
    </w:p>
    <w:p w14:paraId="43E3E3D5" w14:textId="77777777" w:rsidR="00EB06D9" w:rsidRPr="00282BFE" w:rsidRDefault="00EB06D9" w:rsidP="00EB06D9">
      <w:pPr>
        <w:pStyle w:val="ListParagraph"/>
        <w:keepNext/>
        <w:keepLines/>
        <w:numPr>
          <w:ilvl w:val="1"/>
          <w:numId w:val="20"/>
        </w:numPr>
        <w:spacing w:before="120" w:after="120"/>
        <w:ind w:left="720" w:right="14"/>
        <w:jc w:val="both"/>
        <w:rPr>
          <w:rFonts w:asciiTheme="minorHAnsi" w:hAnsiTheme="minorHAnsi"/>
          <w:sz w:val="24"/>
        </w:rPr>
      </w:pPr>
      <w:r w:rsidRPr="00282BFE">
        <w:rPr>
          <w:rFonts w:asciiTheme="minorHAnsi" w:hAnsiTheme="minorHAnsi"/>
          <w:sz w:val="24"/>
        </w:rPr>
        <w:t xml:space="preserve">Have spent at least 180 days in substitute care after age 14, was not dismissed from care prior to reaching 16 years of age and either left foster care (had ward ship terminated) or completed high school/GED within the previous </w:t>
      </w:r>
      <w:r>
        <w:rPr>
          <w:rFonts w:asciiTheme="minorHAnsi" w:hAnsiTheme="minorHAnsi"/>
          <w:sz w:val="24"/>
        </w:rPr>
        <w:t>3</w:t>
      </w:r>
      <w:r w:rsidRPr="00282BFE">
        <w:rPr>
          <w:rFonts w:asciiTheme="minorHAnsi" w:hAnsiTheme="minorHAnsi"/>
          <w:sz w:val="24"/>
        </w:rPr>
        <w:t xml:space="preserve"> years; and </w:t>
      </w:r>
    </w:p>
    <w:p w14:paraId="18A83CAC" w14:textId="77777777" w:rsidR="00EB06D9" w:rsidRPr="00282BFE" w:rsidRDefault="00EB06D9" w:rsidP="00EB06D9">
      <w:pPr>
        <w:pStyle w:val="ListParagraph"/>
        <w:numPr>
          <w:ilvl w:val="1"/>
          <w:numId w:val="20"/>
        </w:numPr>
        <w:spacing w:before="120" w:after="120"/>
        <w:ind w:left="720" w:right="14"/>
        <w:jc w:val="both"/>
        <w:rPr>
          <w:rFonts w:asciiTheme="minorHAnsi" w:hAnsiTheme="minorHAnsi"/>
          <w:sz w:val="24"/>
        </w:rPr>
      </w:pPr>
      <w:r w:rsidRPr="00282BFE">
        <w:rPr>
          <w:rFonts w:asciiTheme="minorHAnsi" w:hAnsiTheme="minorHAnsi"/>
          <w:sz w:val="24"/>
        </w:rPr>
        <w:t xml:space="preserve">Be admitted to an </w:t>
      </w:r>
      <w:r>
        <w:rPr>
          <w:rFonts w:asciiTheme="minorHAnsi" w:hAnsiTheme="minorHAnsi"/>
          <w:sz w:val="24"/>
        </w:rPr>
        <w:t>undergraduate</w:t>
      </w:r>
      <w:r w:rsidRPr="00282BFE">
        <w:rPr>
          <w:rFonts w:asciiTheme="minorHAnsi" w:hAnsiTheme="minorHAnsi"/>
          <w:sz w:val="24"/>
        </w:rPr>
        <w:t xml:space="preserve"> degree program and enroll </w:t>
      </w:r>
      <w:r>
        <w:rPr>
          <w:rFonts w:asciiTheme="minorHAnsi" w:hAnsiTheme="minorHAnsi"/>
          <w:sz w:val="24"/>
        </w:rPr>
        <w:t>pri</w:t>
      </w:r>
      <w:r w:rsidRPr="00282BFE">
        <w:rPr>
          <w:rFonts w:asciiTheme="minorHAnsi" w:hAnsiTheme="minorHAnsi"/>
          <w:sz w:val="24"/>
        </w:rPr>
        <w:t>o</w:t>
      </w:r>
      <w:r>
        <w:rPr>
          <w:rFonts w:asciiTheme="minorHAnsi" w:hAnsiTheme="minorHAnsi"/>
          <w:sz w:val="24"/>
        </w:rPr>
        <w:t>r</w:t>
      </w:r>
      <w:r w:rsidRPr="00282BFE">
        <w:rPr>
          <w:rFonts w:asciiTheme="minorHAnsi" w:hAnsiTheme="minorHAnsi"/>
          <w:sz w:val="24"/>
        </w:rPr>
        <w:t xml:space="preserve"> </w:t>
      </w:r>
      <w:r>
        <w:rPr>
          <w:rFonts w:asciiTheme="minorHAnsi" w:hAnsiTheme="minorHAnsi"/>
          <w:sz w:val="24"/>
        </w:rPr>
        <w:t xml:space="preserve">to </w:t>
      </w:r>
      <w:r w:rsidRPr="00282BFE">
        <w:rPr>
          <w:rFonts w:asciiTheme="minorHAnsi" w:hAnsiTheme="minorHAnsi"/>
          <w:sz w:val="24"/>
        </w:rPr>
        <w:t xml:space="preserve">reaching 25 years of age; and </w:t>
      </w:r>
    </w:p>
    <w:p w14:paraId="092C413E" w14:textId="77777777" w:rsidR="00EB06D9" w:rsidRPr="00282BFE" w:rsidRDefault="00EB06D9" w:rsidP="00EB06D9">
      <w:pPr>
        <w:pStyle w:val="ListParagraph"/>
        <w:numPr>
          <w:ilvl w:val="1"/>
          <w:numId w:val="20"/>
        </w:numPr>
        <w:spacing w:before="120" w:after="120"/>
        <w:ind w:left="720" w:right="14"/>
        <w:jc w:val="both"/>
        <w:rPr>
          <w:rFonts w:asciiTheme="minorHAnsi" w:hAnsiTheme="minorHAnsi"/>
          <w:sz w:val="24"/>
        </w:rPr>
      </w:pPr>
      <w:r w:rsidRPr="00282BFE">
        <w:rPr>
          <w:rFonts w:asciiTheme="minorHAnsi" w:hAnsiTheme="minorHAnsi"/>
          <w:sz w:val="24"/>
        </w:rPr>
        <w:t xml:space="preserve">Submit a completed FAFSA (Free Application for Federal Student Aid) for each academic year </w:t>
      </w:r>
      <w:r>
        <w:rPr>
          <w:rFonts w:asciiTheme="minorHAnsi" w:hAnsiTheme="minorHAnsi"/>
          <w:sz w:val="24"/>
        </w:rPr>
        <w:t>they are</w:t>
      </w:r>
      <w:r w:rsidRPr="00282BFE">
        <w:rPr>
          <w:rFonts w:asciiTheme="minorHAnsi" w:hAnsiTheme="minorHAnsi"/>
          <w:sz w:val="24"/>
        </w:rPr>
        <w:t xml:space="preserve"> eligible for the program; and</w:t>
      </w:r>
    </w:p>
    <w:p w14:paraId="01CFA831" w14:textId="77777777" w:rsidR="00EB06D9" w:rsidRPr="00282BFE" w:rsidRDefault="00EB06D9" w:rsidP="00EB06D9">
      <w:pPr>
        <w:pStyle w:val="ListParagraph"/>
        <w:numPr>
          <w:ilvl w:val="1"/>
          <w:numId w:val="20"/>
        </w:numPr>
        <w:spacing w:before="120" w:after="120"/>
        <w:ind w:left="720" w:right="14"/>
        <w:jc w:val="both"/>
        <w:rPr>
          <w:rFonts w:asciiTheme="minorHAnsi" w:hAnsiTheme="minorHAnsi"/>
          <w:i/>
          <w:sz w:val="24"/>
        </w:rPr>
      </w:pPr>
      <w:r w:rsidRPr="00282BFE">
        <w:rPr>
          <w:rFonts w:asciiTheme="minorHAnsi" w:hAnsiTheme="minorHAnsi"/>
          <w:sz w:val="24"/>
        </w:rPr>
        <w:t>For years after the first academic year at an institution of higher education, have completed a minimum of 30 volunteer service hours in the previous academic year performing community service activities such as mentoring foster youth or assisting in the provision of peer support service activities, according to policies developed by the institution of higher education at which the current or former foster child is enrolled.</w:t>
      </w:r>
    </w:p>
    <w:p w14:paraId="167409EA" w14:textId="77777777" w:rsidR="00EB06D9" w:rsidRPr="00282BFE" w:rsidRDefault="00EB06D9" w:rsidP="00EB06D9">
      <w:pPr>
        <w:tabs>
          <w:tab w:val="left" w:pos="360"/>
        </w:tabs>
        <w:ind w:left="360" w:right="12"/>
        <w:jc w:val="both"/>
        <w:rPr>
          <w:rFonts w:asciiTheme="minorHAnsi" w:hAnsiTheme="minorHAnsi"/>
          <w:i/>
          <w:sz w:val="24"/>
        </w:rPr>
      </w:pPr>
      <w:r w:rsidRPr="00282BFE">
        <w:rPr>
          <w:rFonts w:asciiTheme="minorHAnsi" w:hAnsiTheme="minorHAnsi"/>
          <w:i/>
          <w:sz w:val="24"/>
        </w:rPr>
        <w:t xml:space="preserve">Awards: </w:t>
      </w:r>
    </w:p>
    <w:p w14:paraId="7CAD0CA1" w14:textId="77777777" w:rsidR="00EB06D9" w:rsidRPr="00282BFE" w:rsidRDefault="00EB06D9" w:rsidP="00EB06D9">
      <w:pPr>
        <w:pStyle w:val="ListParagraph"/>
        <w:numPr>
          <w:ilvl w:val="0"/>
          <w:numId w:val="22"/>
        </w:numPr>
        <w:tabs>
          <w:tab w:val="left" w:pos="720"/>
        </w:tabs>
        <w:spacing w:before="120" w:after="120"/>
        <w:ind w:left="720" w:right="14"/>
        <w:jc w:val="both"/>
        <w:rPr>
          <w:rFonts w:asciiTheme="minorHAnsi" w:hAnsiTheme="minorHAnsi"/>
          <w:sz w:val="24"/>
        </w:rPr>
      </w:pPr>
      <w:r w:rsidRPr="00282BFE">
        <w:rPr>
          <w:rFonts w:asciiTheme="minorHAnsi" w:hAnsiTheme="minorHAnsi"/>
          <w:sz w:val="24"/>
        </w:rPr>
        <w:t>A qualified student for The Foster Youth Tuition and Fee Waiver is entitled to waiver of tuition and fees as noted below:</w:t>
      </w:r>
    </w:p>
    <w:p w14:paraId="15CA7D4B" w14:textId="77777777" w:rsidR="00EB06D9" w:rsidRPr="00282BFE" w:rsidRDefault="00EB06D9" w:rsidP="00EB06D9">
      <w:pPr>
        <w:pStyle w:val="ListParagraph"/>
        <w:numPr>
          <w:ilvl w:val="2"/>
          <w:numId w:val="21"/>
        </w:numPr>
        <w:spacing w:before="120" w:after="120"/>
        <w:ind w:left="1080" w:right="14"/>
        <w:jc w:val="both"/>
        <w:rPr>
          <w:rFonts w:asciiTheme="minorHAnsi" w:hAnsiTheme="minorHAnsi"/>
          <w:sz w:val="24"/>
        </w:rPr>
      </w:pPr>
      <w:r w:rsidRPr="00282BFE">
        <w:rPr>
          <w:rFonts w:asciiTheme="minorHAnsi" w:hAnsiTheme="minorHAnsi"/>
          <w:sz w:val="24"/>
        </w:rPr>
        <w:t>Tuition for academic credit courses (at base or differential rates depending upon program to which student is admitted) but not for noncredit courses.</w:t>
      </w:r>
    </w:p>
    <w:p w14:paraId="14356304" w14:textId="77777777" w:rsidR="00EB06D9" w:rsidRPr="00282BFE" w:rsidRDefault="00EB06D9" w:rsidP="00EB06D9">
      <w:pPr>
        <w:pStyle w:val="ListParagraph"/>
        <w:numPr>
          <w:ilvl w:val="2"/>
          <w:numId w:val="21"/>
        </w:numPr>
        <w:spacing w:before="120" w:after="120"/>
        <w:ind w:left="1080" w:right="14"/>
        <w:jc w:val="both"/>
        <w:rPr>
          <w:rFonts w:asciiTheme="minorHAnsi" w:hAnsiTheme="minorHAnsi"/>
          <w:sz w:val="24"/>
        </w:rPr>
      </w:pPr>
      <w:r w:rsidRPr="00282BFE">
        <w:rPr>
          <w:rFonts w:asciiTheme="minorHAnsi" w:hAnsiTheme="minorHAnsi"/>
          <w:sz w:val="24"/>
        </w:rPr>
        <w:t>Mandatory enrollment fees: building, incidental, health service, recreation center, or other mandatory fees that may be added from time to time.</w:t>
      </w:r>
    </w:p>
    <w:p w14:paraId="5F244FD7" w14:textId="77777777" w:rsidR="00EB06D9" w:rsidRPr="00282BFE" w:rsidRDefault="00EB06D9" w:rsidP="00EB06D9">
      <w:pPr>
        <w:pStyle w:val="ListParagraph"/>
        <w:numPr>
          <w:ilvl w:val="2"/>
          <w:numId w:val="21"/>
        </w:numPr>
        <w:spacing w:before="120" w:after="120"/>
        <w:ind w:left="1080" w:right="14"/>
        <w:jc w:val="both"/>
        <w:rPr>
          <w:rFonts w:asciiTheme="minorHAnsi" w:hAnsiTheme="minorHAnsi"/>
          <w:sz w:val="24"/>
        </w:rPr>
      </w:pPr>
      <w:r w:rsidRPr="00282BFE">
        <w:rPr>
          <w:rFonts w:asciiTheme="minorHAnsi" w:hAnsiTheme="minorHAnsi"/>
          <w:sz w:val="24"/>
        </w:rPr>
        <w:t>One-time fees: matri</w:t>
      </w:r>
      <w:r>
        <w:rPr>
          <w:rFonts w:asciiTheme="minorHAnsi" w:hAnsiTheme="minorHAnsi"/>
          <w:sz w:val="24"/>
        </w:rPr>
        <w:t>culation, transcript for life</w:t>
      </w:r>
      <w:r w:rsidRPr="00282BFE">
        <w:rPr>
          <w:rFonts w:asciiTheme="minorHAnsi" w:hAnsiTheme="minorHAnsi"/>
          <w:sz w:val="24"/>
        </w:rPr>
        <w:t>.</w:t>
      </w:r>
    </w:p>
    <w:p w14:paraId="0F17DE93" w14:textId="77777777" w:rsidR="00EB06D9" w:rsidRPr="00282BFE" w:rsidRDefault="00EB06D9" w:rsidP="00EB06D9">
      <w:pPr>
        <w:pStyle w:val="ListParagraph"/>
        <w:numPr>
          <w:ilvl w:val="2"/>
          <w:numId w:val="21"/>
        </w:numPr>
        <w:spacing w:before="120" w:after="120"/>
        <w:ind w:left="1080" w:right="14"/>
        <w:jc w:val="both"/>
        <w:rPr>
          <w:rFonts w:asciiTheme="minorHAnsi" w:hAnsiTheme="minorHAnsi"/>
          <w:sz w:val="24"/>
        </w:rPr>
      </w:pPr>
      <w:r w:rsidRPr="00282BFE">
        <w:rPr>
          <w:rFonts w:asciiTheme="minorHAnsi" w:hAnsiTheme="minorHAnsi"/>
          <w:sz w:val="24"/>
        </w:rPr>
        <w:t>Fees required for instruction related services such as lab or course fees that are assessed upon registration for a particular course.</w:t>
      </w:r>
    </w:p>
    <w:p w14:paraId="21C25D5C" w14:textId="77777777" w:rsidR="00EB06D9" w:rsidRPr="00282BFE" w:rsidRDefault="00EB06D9" w:rsidP="00EB06D9">
      <w:pPr>
        <w:pStyle w:val="ListParagraph"/>
        <w:numPr>
          <w:ilvl w:val="2"/>
          <w:numId w:val="21"/>
        </w:numPr>
        <w:spacing w:before="120" w:after="120"/>
        <w:ind w:left="1080" w:right="14"/>
        <w:jc w:val="both"/>
        <w:rPr>
          <w:rFonts w:asciiTheme="minorHAnsi" w:hAnsiTheme="minorHAnsi"/>
          <w:sz w:val="24"/>
        </w:rPr>
      </w:pPr>
      <w:r w:rsidRPr="00282BFE">
        <w:rPr>
          <w:rFonts w:asciiTheme="minorHAnsi" w:hAnsiTheme="minorHAnsi"/>
          <w:sz w:val="24"/>
        </w:rPr>
        <w:t>The waiver excludes all fees and fines for non-instruction related services and materials such as residence hall room and board, dining services, parking fees and fines, library fines, etc. In addition, text books and other course materials not assessed as part of a course fee are also excluded. Fees considered as “pass through” fees, paid to an outside provider, are exempt from the Tuition and Fee Waiver. </w:t>
      </w:r>
    </w:p>
    <w:p w14:paraId="38844F7D" w14:textId="77777777" w:rsidR="00EB06D9" w:rsidRPr="00282BFE" w:rsidRDefault="00EB06D9" w:rsidP="00EB06D9">
      <w:pPr>
        <w:pStyle w:val="ListParagraph"/>
        <w:numPr>
          <w:ilvl w:val="0"/>
          <w:numId w:val="20"/>
        </w:numPr>
        <w:tabs>
          <w:tab w:val="left" w:pos="720"/>
        </w:tabs>
        <w:spacing w:before="120"/>
        <w:ind w:right="14"/>
        <w:jc w:val="both"/>
        <w:rPr>
          <w:rFonts w:asciiTheme="minorHAnsi" w:hAnsiTheme="minorHAnsi"/>
          <w:sz w:val="24"/>
        </w:rPr>
      </w:pPr>
      <w:r w:rsidRPr="00282BFE">
        <w:rPr>
          <w:rFonts w:asciiTheme="minorHAnsi" w:hAnsiTheme="minorHAnsi"/>
          <w:sz w:val="24"/>
        </w:rPr>
        <w:t>Eligible students may receive the Foster Youth Tuition and Fee Waiver for up to 12 terms of full-time study or the equivalent. Attendance at less than full-time will be prorated accordingly.</w:t>
      </w:r>
    </w:p>
    <w:p w14:paraId="46EA49AC" w14:textId="77777777" w:rsidR="00EB06D9" w:rsidRPr="00282BFE" w:rsidRDefault="00EB06D9" w:rsidP="00EB06D9">
      <w:pPr>
        <w:pStyle w:val="ListParagraph"/>
        <w:numPr>
          <w:ilvl w:val="0"/>
          <w:numId w:val="20"/>
        </w:numPr>
        <w:tabs>
          <w:tab w:val="left" w:pos="720"/>
        </w:tabs>
        <w:spacing w:before="120"/>
        <w:ind w:right="14"/>
        <w:jc w:val="both"/>
        <w:rPr>
          <w:rFonts w:asciiTheme="minorHAnsi" w:hAnsiTheme="minorHAnsi"/>
          <w:sz w:val="24"/>
        </w:rPr>
      </w:pPr>
      <w:r w:rsidRPr="00282BFE">
        <w:rPr>
          <w:rFonts w:asciiTheme="minorHAnsi" w:hAnsiTheme="minorHAnsi"/>
          <w:sz w:val="24"/>
        </w:rPr>
        <w:lastRenderedPageBreak/>
        <w:t xml:space="preserve">If a student meets all other criteria for eligibility, but does not require the Foster Youth Tuition and Fee Waiver, the student shall remain eligible until the student receives the equivalent of 4 years of </w:t>
      </w:r>
      <w:r>
        <w:rPr>
          <w:rFonts w:asciiTheme="minorHAnsi" w:hAnsiTheme="minorHAnsi"/>
          <w:sz w:val="24"/>
        </w:rPr>
        <w:t>undergraduate</w:t>
      </w:r>
      <w:r w:rsidRPr="00282BFE">
        <w:rPr>
          <w:rFonts w:asciiTheme="minorHAnsi" w:hAnsiTheme="minorHAnsi"/>
          <w:sz w:val="24"/>
        </w:rPr>
        <w:t xml:space="preserve"> education.</w:t>
      </w:r>
    </w:p>
    <w:p w14:paraId="25192E77" w14:textId="77777777" w:rsidR="00EB06D9" w:rsidRPr="00282BFE" w:rsidRDefault="00EB06D9" w:rsidP="00EB06D9">
      <w:pPr>
        <w:pStyle w:val="ListParagraph"/>
        <w:numPr>
          <w:ilvl w:val="0"/>
          <w:numId w:val="20"/>
        </w:numPr>
        <w:tabs>
          <w:tab w:val="left" w:pos="720"/>
        </w:tabs>
        <w:spacing w:before="120"/>
        <w:ind w:right="14"/>
        <w:jc w:val="both"/>
        <w:rPr>
          <w:rFonts w:asciiTheme="minorHAnsi" w:hAnsiTheme="minorHAnsi"/>
          <w:sz w:val="24"/>
        </w:rPr>
      </w:pPr>
      <w:r w:rsidRPr="00282BFE">
        <w:rPr>
          <w:rFonts w:asciiTheme="minorHAnsi" w:hAnsiTheme="minorHAnsi"/>
          <w:sz w:val="24"/>
        </w:rPr>
        <w:t>As noted previously, to be considered eligible for this program, the student must complete and submit a FAFSA for each academic year they are eligible for the program. Awards made under The Foster Youth Tuition and Fee Waiver shall be applied after the following:</w:t>
      </w:r>
    </w:p>
    <w:p w14:paraId="5218630C" w14:textId="77777777" w:rsidR="00EB06D9" w:rsidRPr="00282BFE" w:rsidRDefault="00EB06D9" w:rsidP="00EB06D9">
      <w:pPr>
        <w:pStyle w:val="ListParagraph"/>
        <w:numPr>
          <w:ilvl w:val="2"/>
          <w:numId w:val="21"/>
        </w:numPr>
        <w:spacing w:before="120"/>
        <w:ind w:left="1080" w:right="14"/>
        <w:jc w:val="both"/>
        <w:rPr>
          <w:rFonts w:asciiTheme="minorHAnsi" w:hAnsiTheme="minorHAnsi"/>
          <w:sz w:val="24"/>
        </w:rPr>
      </w:pPr>
      <w:r w:rsidRPr="00282BFE">
        <w:rPr>
          <w:rFonts w:asciiTheme="minorHAnsi" w:hAnsiTheme="minorHAnsi"/>
          <w:sz w:val="24"/>
        </w:rPr>
        <w:t>Any federal Pell or Supplemental Educational Opportunity Grants (SEOG)</w:t>
      </w:r>
    </w:p>
    <w:p w14:paraId="0C9C98B5" w14:textId="77777777" w:rsidR="00EB06D9" w:rsidRPr="00282BFE" w:rsidRDefault="00EB06D9" w:rsidP="00EB06D9">
      <w:pPr>
        <w:pStyle w:val="ListParagraph"/>
        <w:numPr>
          <w:ilvl w:val="2"/>
          <w:numId w:val="21"/>
        </w:numPr>
        <w:spacing w:before="120"/>
        <w:ind w:left="1080" w:right="14"/>
        <w:jc w:val="both"/>
        <w:rPr>
          <w:rFonts w:asciiTheme="minorHAnsi" w:hAnsiTheme="minorHAnsi"/>
          <w:sz w:val="24"/>
        </w:rPr>
      </w:pPr>
      <w:r w:rsidRPr="00282BFE">
        <w:rPr>
          <w:rFonts w:asciiTheme="minorHAnsi" w:hAnsiTheme="minorHAnsi"/>
          <w:sz w:val="24"/>
        </w:rPr>
        <w:t>Oregon Opportunity Grant established under ORS 384.205</w:t>
      </w:r>
    </w:p>
    <w:p w14:paraId="6E9B06F5" w14:textId="77777777" w:rsidR="00EB06D9" w:rsidRPr="00282BFE" w:rsidRDefault="00EB06D9" w:rsidP="00EB06D9">
      <w:pPr>
        <w:pStyle w:val="ListParagraph"/>
        <w:numPr>
          <w:ilvl w:val="2"/>
          <w:numId w:val="21"/>
        </w:numPr>
        <w:spacing w:before="120"/>
        <w:ind w:left="1080" w:right="14"/>
        <w:jc w:val="both"/>
        <w:rPr>
          <w:rFonts w:asciiTheme="minorHAnsi" w:hAnsiTheme="minorHAnsi"/>
          <w:sz w:val="24"/>
        </w:rPr>
      </w:pPr>
      <w:r w:rsidRPr="00282BFE">
        <w:rPr>
          <w:rFonts w:asciiTheme="minorHAnsi" w:hAnsiTheme="minorHAnsi"/>
          <w:sz w:val="24"/>
        </w:rPr>
        <w:t>Any other gift, grant or scholarship received from the institution of higher education which may be applied to the tuition and fees covered under this program.</w:t>
      </w:r>
    </w:p>
    <w:p w14:paraId="4C66CF7A" w14:textId="77777777" w:rsidR="00EB06D9" w:rsidRPr="00282BFE" w:rsidRDefault="00EB06D9" w:rsidP="00EB06D9">
      <w:pPr>
        <w:pStyle w:val="ListParagraph"/>
        <w:numPr>
          <w:ilvl w:val="0"/>
          <w:numId w:val="20"/>
        </w:numPr>
        <w:tabs>
          <w:tab w:val="left" w:pos="720"/>
        </w:tabs>
        <w:spacing w:before="120" w:after="120"/>
        <w:ind w:right="14"/>
        <w:jc w:val="both"/>
        <w:rPr>
          <w:rFonts w:asciiTheme="minorHAnsi" w:hAnsiTheme="minorHAnsi"/>
          <w:sz w:val="24"/>
        </w:rPr>
      </w:pPr>
      <w:r w:rsidRPr="00282BFE">
        <w:rPr>
          <w:rFonts w:asciiTheme="minorHAnsi" w:hAnsiTheme="minorHAnsi"/>
          <w:sz w:val="24"/>
        </w:rPr>
        <w:t>For purposes of this program, non-tuition scholarships from sources outside of the university, which pass through either OSAC or the institution, are not included in the calculation of the tuition and fee waiver award amount.</w:t>
      </w:r>
    </w:p>
    <w:p w14:paraId="1F325982"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i/>
          <w:sz w:val="24"/>
        </w:rPr>
        <w:t>Definition of Terms:</w:t>
      </w:r>
      <w:r w:rsidRPr="00282BFE">
        <w:rPr>
          <w:rFonts w:asciiTheme="minorHAnsi" w:hAnsiTheme="minorHAnsi"/>
          <w:sz w:val="24"/>
        </w:rPr>
        <w:t xml:space="preserve"> For purposes of this waiver, the following terms are defined as follows:</w:t>
      </w:r>
    </w:p>
    <w:p w14:paraId="69A09010" w14:textId="77777777" w:rsidR="00EB06D9" w:rsidRPr="00282BFE" w:rsidRDefault="00EB06D9" w:rsidP="00EB06D9">
      <w:pPr>
        <w:pStyle w:val="ListParagraph"/>
        <w:numPr>
          <w:ilvl w:val="2"/>
          <w:numId w:val="21"/>
        </w:numPr>
        <w:spacing w:before="120" w:after="120"/>
        <w:ind w:left="1080" w:right="14"/>
        <w:jc w:val="both"/>
        <w:rPr>
          <w:rFonts w:asciiTheme="minorHAnsi" w:hAnsiTheme="minorHAnsi"/>
          <w:sz w:val="24"/>
        </w:rPr>
      </w:pPr>
      <w:r w:rsidRPr="00282BFE">
        <w:rPr>
          <w:rFonts w:asciiTheme="minorHAnsi" w:hAnsiTheme="minorHAnsi"/>
          <w:sz w:val="24"/>
        </w:rPr>
        <w:t xml:space="preserve">A “former foster child” is defined as an individual who, for a total of six or more months while between 14 and 21 years of age, was: (a) A ward of the court pursuant to ORS 419B.100(1)(b) to (e) and in the legal custody of the Oregon Department of Human Services (or one of the nine federally recognized Tribes in Oregon) for out-of-home placement and not dismissed from care before reaching 16 years of age; or (b) An Indian child subject to the Indian Child Welfare Act (25 U.S.C. 1901 el seq.), under the jurisdiction of a tribal court for out-of-home placement and not dismissed from care before reaching 16 years of age. </w:t>
      </w:r>
    </w:p>
    <w:p w14:paraId="4FC3ACB9" w14:textId="77777777" w:rsidR="00EB06D9" w:rsidRPr="00282BFE" w:rsidRDefault="00EB06D9" w:rsidP="00EB06D9">
      <w:pPr>
        <w:pStyle w:val="ListParagraph"/>
        <w:numPr>
          <w:ilvl w:val="2"/>
          <w:numId w:val="21"/>
        </w:numPr>
        <w:spacing w:before="120" w:after="120"/>
        <w:ind w:left="1080" w:right="14"/>
        <w:jc w:val="both"/>
        <w:rPr>
          <w:rFonts w:asciiTheme="minorHAnsi" w:hAnsiTheme="minorHAnsi"/>
          <w:sz w:val="24"/>
        </w:rPr>
      </w:pPr>
      <w:r w:rsidRPr="00282BFE">
        <w:rPr>
          <w:rFonts w:asciiTheme="minorHAnsi" w:hAnsiTheme="minorHAnsi"/>
          <w:sz w:val="24"/>
        </w:rPr>
        <w:t xml:space="preserve">The “equivalent of </w:t>
      </w:r>
      <w:r>
        <w:rPr>
          <w:rFonts w:asciiTheme="minorHAnsi" w:hAnsiTheme="minorHAnsi"/>
          <w:sz w:val="24"/>
        </w:rPr>
        <w:t>four</w:t>
      </w:r>
      <w:r w:rsidRPr="00282BFE">
        <w:rPr>
          <w:rFonts w:asciiTheme="minorHAnsi" w:hAnsiTheme="minorHAnsi"/>
          <w:sz w:val="24"/>
        </w:rPr>
        <w:t xml:space="preserve"> years of </w:t>
      </w:r>
      <w:r>
        <w:rPr>
          <w:rFonts w:asciiTheme="minorHAnsi" w:hAnsiTheme="minorHAnsi"/>
          <w:sz w:val="24"/>
        </w:rPr>
        <w:t>undergraduate education” and “equivalent of four</w:t>
      </w:r>
      <w:r w:rsidRPr="00282BFE">
        <w:rPr>
          <w:rFonts w:asciiTheme="minorHAnsi" w:hAnsiTheme="minorHAnsi"/>
          <w:sz w:val="24"/>
        </w:rPr>
        <w:t xml:space="preserve"> academic years” is defined as up to 12 terms of full time study or the equivalent. Attendance at less than full-time will be will be prorated, accordingly.</w:t>
      </w:r>
    </w:p>
    <w:p w14:paraId="20C6192A" w14:textId="02B076A5" w:rsidR="00EB06D9" w:rsidRPr="00282BFE" w:rsidRDefault="00EB06D9" w:rsidP="00EB06D9">
      <w:pPr>
        <w:spacing w:before="120" w:after="120"/>
        <w:ind w:left="360" w:right="14"/>
        <w:jc w:val="both"/>
        <w:rPr>
          <w:rFonts w:asciiTheme="minorHAnsi" w:hAnsiTheme="minorHAnsi"/>
          <w:i/>
          <w:sz w:val="24"/>
        </w:rPr>
      </w:pPr>
      <w:r w:rsidRPr="00282BFE">
        <w:rPr>
          <w:rFonts w:asciiTheme="minorHAnsi" w:hAnsiTheme="minorHAnsi"/>
          <w:i/>
          <w:sz w:val="24"/>
        </w:rPr>
        <w:t xml:space="preserve">Statutory Authority: ORS </w:t>
      </w:r>
      <w:r w:rsidR="000D2D52">
        <w:rPr>
          <w:rFonts w:asciiTheme="minorHAnsi" w:hAnsiTheme="minorHAnsi"/>
          <w:i/>
          <w:sz w:val="24"/>
        </w:rPr>
        <w:t>350.300</w:t>
      </w:r>
      <w:r w:rsidRPr="00282BFE">
        <w:rPr>
          <w:rFonts w:asciiTheme="minorHAnsi" w:hAnsiTheme="minorHAnsi"/>
          <w:i/>
          <w:sz w:val="24"/>
        </w:rPr>
        <w:t xml:space="preserve"> Tuition waiver for foster child</w:t>
      </w:r>
    </w:p>
    <w:p w14:paraId="6AC01F92" w14:textId="77777777" w:rsidR="00EB06D9" w:rsidRPr="00282BFE" w:rsidRDefault="00EB06D9" w:rsidP="00EB06D9">
      <w:pPr>
        <w:pStyle w:val="Heading3"/>
        <w:spacing w:after="120"/>
      </w:pPr>
      <w:bookmarkStart w:id="49" w:name="_Toc421521577"/>
      <w:r w:rsidRPr="00282BFE">
        <w:t>Other Reduced Tuition Policies</w:t>
      </w:r>
      <w:bookmarkEnd w:id="49"/>
    </w:p>
    <w:p w14:paraId="67881088" w14:textId="77777777" w:rsidR="00EB06D9" w:rsidRPr="00282BFE" w:rsidRDefault="00EB06D9" w:rsidP="00EB06D9">
      <w:pPr>
        <w:pStyle w:val="Heading4"/>
        <w:spacing w:after="120"/>
        <w:ind w:left="360"/>
        <w:jc w:val="left"/>
        <w:rPr>
          <w:rFonts w:asciiTheme="minorHAnsi" w:hAnsiTheme="minorHAnsi"/>
          <w:szCs w:val="24"/>
        </w:rPr>
      </w:pPr>
      <w:bookmarkStart w:id="50" w:name="_Toc421521578"/>
      <w:r w:rsidRPr="00282BFE">
        <w:rPr>
          <w:rFonts w:asciiTheme="minorHAnsi" w:hAnsiTheme="minorHAnsi"/>
          <w:szCs w:val="24"/>
        </w:rPr>
        <w:t>Western Undergraduate Exchange</w:t>
      </w:r>
      <w:bookmarkEnd w:id="50"/>
      <w:r w:rsidRPr="00282BFE">
        <w:rPr>
          <w:rFonts w:asciiTheme="minorHAnsi" w:hAnsiTheme="minorHAnsi"/>
          <w:szCs w:val="24"/>
        </w:rPr>
        <w:t xml:space="preserve"> </w:t>
      </w:r>
    </w:p>
    <w:p w14:paraId="69EF3235"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 xml:space="preserve">Tuition for students admitted under the Western Undergraduate Exchange (WUE) program is assessed at 150% of the prevailing resident </w:t>
      </w:r>
      <w:r>
        <w:rPr>
          <w:rFonts w:asciiTheme="minorHAnsi" w:hAnsiTheme="minorHAnsi"/>
          <w:sz w:val="24"/>
        </w:rPr>
        <w:t>u</w:t>
      </w:r>
      <w:r w:rsidRPr="00282BFE">
        <w:rPr>
          <w:rFonts w:asciiTheme="minorHAnsi" w:hAnsiTheme="minorHAnsi"/>
          <w:sz w:val="24"/>
        </w:rPr>
        <w:t>ndergraduate tuition rate.</w:t>
      </w:r>
    </w:p>
    <w:p w14:paraId="1865FE50" w14:textId="46C458C1"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 xml:space="preserve">The WUE program allows first-time enrolling, nonresident </w:t>
      </w:r>
      <w:r>
        <w:rPr>
          <w:rFonts w:asciiTheme="minorHAnsi" w:hAnsiTheme="minorHAnsi"/>
          <w:sz w:val="24"/>
        </w:rPr>
        <w:t>u</w:t>
      </w:r>
      <w:r w:rsidRPr="00282BFE">
        <w:rPr>
          <w:rFonts w:asciiTheme="minorHAnsi" w:hAnsiTheme="minorHAnsi"/>
          <w:sz w:val="24"/>
        </w:rPr>
        <w:t xml:space="preserve">ndergraduate students from participating states to pay 150% of resident tuition when enrolled in selected programs at </w:t>
      </w:r>
      <w:r>
        <w:rPr>
          <w:rFonts w:asciiTheme="minorHAnsi" w:hAnsiTheme="minorHAnsi"/>
          <w:sz w:val="24"/>
        </w:rPr>
        <w:t>Oregon Tech</w:t>
      </w:r>
      <w:r w:rsidRPr="00282BFE">
        <w:rPr>
          <w:rFonts w:asciiTheme="minorHAnsi" w:hAnsiTheme="minorHAnsi"/>
          <w:sz w:val="24"/>
        </w:rPr>
        <w:t xml:space="preserve">. Students participating in this program must maintain enrollment in these designated programs to retain qualification. The time spent as a WUE student cannot apply toward residency status. Students previously or currently enrolled in System schools are not eligible for this program. </w:t>
      </w:r>
      <w:r>
        <w:rPr>
          <w:rFonts w:asciiTheme="minorHAnsi" w:hAnsiTheme="minorHAnsi"/>
          <w:sz w:val="24"/>
        </w:rPr>
        <w:t xml:space="preserve">Oregon Tech is not </w:t>
      </w:r>
      <w:r w:rsidRPr="00282BFE">
        <w:rPr>
          <w:rFonts w:asciiTheme="minorHAnsi" w:hAnsiTheme="minorHAnsi"/>
          <w:sz w:val="24"/>
        </w:rPr>
        <w:t xml:space="preserve">obligated to notify prospective, admitted, or enrolled students who are eligible for this program. Institutions that implement this program must report WUE enrollment as directed, and validate WUE students quarter to quarter. </w:t>
      </w:r>
    </w:p>
    <w:p w14:paraId="1BD9FB7C" w14:textId="758DC286" w:rsidR="00EB06D9" w:rsidRPr="00282BFE" w:rsidRDefault="00EB06D9" w:rsidP="00EB06D9">
      <w:pPr>
        <w:spacing w:before="120" w:after="120"/>
        <w:ind w:left="360" w:right="14"/>
        <w:contextualSpacing/>
        <w:rPr>
          <w:rFonts w:asciiTheme="minorHAnsi" w:hAnsiTheme="minorHAnsi"/>
          <w:i/>
          <w:iCs/>
          <w:sz w:val="24"/>
        </w:rPr>
      </w:pPr>
      <w:r w:rsidRPr="00282BFE">
        <w:rPr>
          <w:rFonts w:asciiTheme="minorHAnsi" w:hAnsiTheme="minorHAnsi"/>
          <w:i/>
          <w:iCs/>
          <w:sz w:val="24"/>
        </w:rPr>
        <w:t>Administrative Authority:</w:t>
      </w:r>
      <w:r>
        <w:rPr>
          <w:rFonts w:asciiTheme="minorHAnsi" w:hAnsiTheme="minorHAnsi"/>
          <w:i/>
          <w:iCs/>
          <w:sz w:val="24"/>
        </w:rPr>
        <w:tab/>
      </w:r>
      <w:r w:rsidR="000D2D52">
        <w:rPr>
          <w:rFonts w:asciiTheme="minorHAnsi" w:hAnsiTheme="minorHAnsi"/>
          <w:i/>
          <w:iCs/>
          <w:sz w:val="24"/>
        </w:rPr>
        <w:t>University Policy</w:t>
      </w:r>
      <w:r w:rsidRPr="00282BFE">
        <w:rPr>
          <w:rFonts w:asciiTheme="minorHAnsi" w:hAnsiTheme="minorHAnsi"/>
          <w:i/>
          <w:iCs/>
          <w:sz w:val="24"/>
        </w:rPr>
        <w:t xml:space="preserve"> Payment of Nonresident Instruction Fee </w:t>
      </w:r>
    </w:p>
    <w:p w14:paraId="14919546" w14:textId="5A6C7A6D" w:rsidR="00EB06D9" w:rsidRPr="00282BFE" w:rsidRDefault="00EB06D9" w:rsidP="00EB06D9">
      <w:pPr>
        <w:spacing w:before="120" w:after="120"/>
        <w:ind w:left="360" w:right="14" w:firstLine="720"/>
        <w:rPr>
          <w:rFonts w:asciiTheme="minorHAnsi" w:hAnsiTheme="minorHAnsi"/>
          <w:sz w:val="24"/>
        </w:rPr>
      </w:pPr>
      <w:r w:rsidRPr="00282BFE">
        <w:rPr>
          <w:rFonts w:asciiTheme="minorHAnsi" w:hAnsiTheme="minorHAnsi"/>
          <w:i/>
          <w:iCs/>
          <w:sz w:val="24"/>
        </w:rPr>
        <w:tab/>
      </w:r>
      <w:r w:rsidRPr="00282BFE">
        <w:rPr>
          <w:rFonts w:asciiTheme="minorHAnsi" w:hAnsiTheme="minorHAnsi"/>
          <w:i/>
          <w:iCs/>
          <w:sz w:val="24"/>
        </w:rPr>
        <w:tab/>
      </w:r>
      <w:r w:rsidRPr="00282BFE">
        <w:rPr>
          <w:rFonts w:asciiTheme="minorHAnsi" w:hAnsiTheme="minorHAnsi"/>
          <w:i/>
          <w:iCs/>
          <w:sz w:val="24"/>
        </w:rPr>
        <w:tab/>
      </w:r>
      <w:r w:rsidR="000D2D52">
        <w:rPr>
          <w:rFonts w:asciiTheme="minorHAnsi" w:hAnsiTheme="minorHAnsi"/>
          <w:i/>
          <w:iCs/>
          <w:sz w:val="24"/>
        </w:rPr>
        <w:t>University Policy</w:t>
      </w:r>
      <w:r w:rsidRPr="00282BFE">
        <w:rPr>
          <w:rFonts w:asciiTheme="minorHAnsi" w:hAnsiTheme="minorHAnsi"/>
          <w:i/>
          <w:iCs/>
          <w:sz w:val="24"/>
        </w:rPr>
        <w:t xml:space="preserve"> Waiver of Nonresident Instruction Fee</w:t>
      </w:r>
      <w:r w:rsidRPr="00282BFE">
        <w:rPr>
          <w:rFonts w:asciiTheme="minorHAnsi" w:hAnsiTheme="minorHAnsi"/>
          <w:sz w:val="24"/>
        </w:rPr>
        <w:t xml:space="preserve"> </w:t>
      </w:r>
    </w:p>
    <w:p w14:paraId="30184E03" w14:textId="77777777" w:rsidR="00EB06D9" w:rsidRPr="00282BFE" w:rsidRDefault="00EB06D9" w:rsidP="00EB06D9">
      <w:pPr>
        <w:pStyle w:val="Heading4"/>
        <w:spacing w:after="120"/>
        <w:ind w:left="360"/>
        <w:jc w:val="left"/>
        <w:rPr>
          <w:rFonts w:asciiTheme="minorHAnsi" w:hAnsiTheme="minorHAnsi"/>
          <w:szCs w:val="24"/>
        </w:rPr>
      </w:pPr>
      <w:bookmarkStart w:id="51" w:name="_Toc421521579"/>
      <w:r w:rsidRPr="00282BFE">
        <w:rPr>
          <w:rFonts w:asciiTheme="minorHAnsi" w:hAnsiTheme="minorHAnsi"/>
          <w:szCs w:val="24"/>
        </w:rPr>
        <w:lastRenderedPageBreak/>
        <w:t>Tuition Equity</w:t>
      </w:r>
      <w:bookmarkEnd w:id="51"/>
      <w:r w:rsidRPr="00282BFE">
        <w:rPr>
          <w:rFonts w:asciiTheme="minorHAnsi" w:hAnsiTheme="minorHAnsi"/>
          <w:szCs w:val="24"/>
        </w:rPr>
        <w:t xml:space="preserve"> </w:t>
      </w:r>
    </w:p>
    <w:p w14:paraId="2F7589AE"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In keeping with O</w:t>
      </w:r>
      <w:r>
        <w:rPr>
          <w:rFonts w:asciiTheme="minorHAnsi" w:hAnsiTheme="minorHAnsi"/>
          <w:sz w:val="24"/>
        </w:rPr>
        <w:t>regon Tech’s</w:t>
      </w:r>
      <w:r w:rsidRPr="00282BFE">
        <w:rPr>
          <w:rFonts w:asciiTheme="minorHAnsi" w:hAnsiTheme="minorHAnsi"/>
          <w:sz w:val="24"/>
        </w:rPr>
        <w:t xml:space="preserve"> commitment to creating innovative programs </w:t>
      </w:r>
      <w:r>
        <w:rPr>
          <w:rFonts w:asciiTheme="minorHAnsi" w:hAnsiTheme="minorHAnsi"/>
          <w:sz w:val="24"/>
        </w:rPr>
        <w:t>that</w:t>
      </w:r>
      <w:r w:rsidRPr="00282BFE">
        <w:rPr>
          <w:rFonts w:asciiTheme="minorHAnsi" w:hAnsiTheme="minorHAnsi"/>
          <w:sz w:val="24"/>
        </w:rPr>
        <w:t xml:space="preserve"> make college more affordable and more relevant to the realities of today’s workforce and economy, the 2013 Oregon Legislature passed the </w:t>
      </w:r>
      <w:r>
        <w:rPr>
          <w:rFonts w:asciiTheme="minorHAnsi" w:hAnsiTheme="minorHAnsi"/>
          <w:sz w:val="24"/>
        </w:rPr>
        <w:t>University</w:t>
      </w:r>
      <w:r w:rsidRPr="00282BFE">
        <w:rPr>
          <w:rFonts w:asciiTheme="minorHAnsi" w:hAnsiTheme="minorHAnsi"/>
          <w:sz w:val="24"/>
        </w:rPr>
        <w:t xml:space="preserve">-supported Tuition Equity Act. </w:t>
      </w:r>
    </w:p>
    <w:p w14:paraId="4B2FA1B7"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The Tuition Equity Act, as outlined in House Bill 2787 (2013), became law on April 2, 2013, and exempts the following students from paying nonresident tuition and fees for enrollment in Oregon’s public universities:</w:t>
      </w:r>
    </w:p>
    <w:p w14:paraId="7D5BCA96" w14:textId="77777777" w:rsidR="00EB06D9" w:rsidRPr="00282BFE" w:rsidRDefault="00EB06D9" w:rsidP="00EB06D9">
      <w:pPr>
        <w:pStyle w:val="ListParagraph"/>
        <w:numPr>
          <w:ilvl w:val="0"/>
          <w:numId w:val="24"/>
        </w:numPr>
        <w:spacing w:before="120" w:after="120"/>
        <w:ind w:left="720" w:right="14"/>
        <w:jc w:val="both"/>
        <w:rPr>
          <w:rFonts w:asciiTheme="minorHAnsi" w:hAnsiTheme="minorHAnsi"/>
          <w:sz w:val="24"/>
        </w:rPr>
      </w:pPr>
      <w:r w:rsidRPr="00282BFE">
        <w:rPr>
          <w:rFonts w:asciiTheme="minorHAnsi" w:hAnsiTheme="minorHAnsi"/>
          <w:sz w:val="24"/>
        </w:rPr>
        <w:t>Students who are not citizens or lawful permanent residents of the United States provided the student:</w:t>
      </w:r>
    </w:p>
    <w:p w14:paraId="4577C5EB" w14:textId="77777777" w:rsidR="00EB06D9" w:rsidRPr="00282BFE" w:rsidRDefault="00EB06D9" w:rsidP="00EB06D9">
      <w:pPr>
        <w:pStyle w:val="ListParagraph"/>
        <w:numPr>
          <w:ilvl w:val="1"/>
          <w:numId w:val="24"/>
        </w:numPr>
        <w:tabs>
          <w:tab w:val="left" w:pos="1080"/>
        </w:tabs>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During each of the three years immediately prior to receiving a high school diploma or leaving school before receiving a high school diploma, attended an elementary or a secondary school in Oregon;</w:t>
      </w:r>
    </w:p>
    <w:p w14:paraId="1EF091BA" w14:textId="77777777" w:rsidR="00EB06D9" w:rsidRPr="00282BFE" w:rsidRDefault="00EB06D9" w:rsidP="00EB06D9">
      <w:pPr>
        <w:pStyle w:val="ListParagraph"/>
        <w:numPr>
          <w:ilvl w:val="1"/>
          <w:numId w:val="24"/>
        </w:numPr>
        <w:tabs>
          <w:tab w:val="left" w:pos="1080"/>
        </w:tabs>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During each of the five years immediately prior to receiving a high school diploma or leaving school before receiving a high school diploma, attended an elementary or a secondary school in any state or territory of the United States, the District of Columbia</w:t>
      </w:r>
      <w:r>
        <w:rPr>
          <w:rFonts w:asciiTheme="minorHAnsi" w:hAnsiTheme="minorHAnsi" w:cs="NewCenturySchlbk-Bold"/>
          <w:bCs/>
          <w:sz w:val="24"/>
        </w:rPr>
        <w:t>,</w:t>
      </w:r>
      <w:r w:rsidRPr="00282BFE">
        <w:rPr>
          <w:rFonts w:asciiTheme="minorHAnsi" w:hAnsiTheme="minorHAnsi" w:cs="NewCenturySchlbk-Bold"/>
          <w:bCs/>
          <w:sz w:val="24"/>
        </w:rPr>
        <w:t xml:space="preserve"> or the Commonwealth of Puerto Rico;</w:t>
      </w:r>
    </w:p>
    <w:p w14:paraId="0E135FBE" w14:textId="77777777" w:rsidR="00EB06D9" w:rsidRPr="00282BFE" w:rsidRDefault="00EB06D9" w:rsidP="00EB06D9">
      <w:pPr>
        <w:pStyle w:val="ListParagraph"/>
        <w:numPr>
          <w:ilvl w:val="1"/>
          <w:numId w:val="24"/>
        </w:numPr>
        <w:tabs>
          <w:tab w:val="left" w:pos="1080"/>
        </w:tabs>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 xml:space="preserve">No more than three years before initially enrolling in </w:t>
      </w:r>
      <w:r>
        <w:rPr>
          <w:rFonts w:asciiTheme="minorHAnsi" w:hAnsiTheme="minorHAnsi" w:cs="NewCenturySchlbk-Bold"/>
          <w:bCs/>
          <w:sz w:val="24"/>
        </w:rPr>
        <w:t>Oregon Tech</w:t>
      </w:r>
      <w:r w:rsidRPr="00282BFE">
        <w:rPr>
          <w:rFonts w:asciiTheme="minorHAnsi" w:hAnsiTheme="minorHAnsi" w:cs="NewCenturySchlbk-Bold"/>
          <w:bCs/>
          <w:sz w:val="24"/>
        </w:rPr>
        <w:t xml:space="preserve">, received a high school diploma from a high school in this state or received the equivalent of a high school diploma (such as a GED); </w:t>
      </w:r>
      <w:r w:rsidRPr="00282BFE">
        <w:rPr>
          <w:rFonts w:asciiTheme="minorHAnsi" w:hAnsiTheme="minorHAnsi" w:cs="NewCenturySchlbk-Bold"/>
          <w:bCs/>
          <w:sz w:val="24"/>
          <w:u w:val="single"/>
        </w:rPr>
        <w:t>and</w:t>
      </w:r>
    </w:p>
    <w:p w14:paraId="184CC754" w14:textId="77777777" w:rsidR="00EB06D9" w:rsidRPr="00282BFE" w:rsidRDefault="00EB06D9" w:rsidP="00EB06D9">
      <w:pPr>
        <w:pStyle w:val="ListParagraph"/>
        <w:numPr>
          <w:ilvl w:val="1"/>
          <w:numId w:val="24"/>
        </w:numPr>
        <w:tabs>
          <w:tab w:val="left" w:pos="1080"/>
        </w:tabs>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Shows intention to become a citizen or a lawful permanent resident of the United States by submitting to the public university the student attends or plans to attend:</w:t>
      </w:r>
    </w:p>
    <w:p w14:paraId="5487AA0C" w14:textId="77777777" w:rsidR="00EB06D9" w:rsidRPr="00282BFE" w:rsidRDefault="00EB06D9" w:rsidP="00EB06D9">
      <w:pPr>
        <w:pStyle w:val="ListParagraph"/>
        <w:numPr>
          <w:ilvl w:val="2"/>
          <w:numId w:val="24"/>
        </w:numPr>
        <w:autoSpaceDE w:val="0"/>
        <w:autoSpaceDN w:val="0"/>
        <w:adjustRightInd w:val="0"/>
        <w:spacing w:before="120" w:after="120"/>
        <w:ind w:left="1440"/>
        <w:jc w:val="both"/>
        <w:rPr>
          <w:rFonts w:asciiTheme="minorHAnsi" w:hAnsiTheme="minorHAnsi" w:cs="NewCenturySchlbk-Bold"/>
          <w:bCs/>
          <w:sz w:val="24"/>
        </w:rPr>
      </w:pPr>
      <w:r w:rsidRPr="00282BFE">
        <w:rPr>
          <w:rFonts w:asciiTheme="minorHAnsi" w:hAnsiTheme="minorHAnsi" w:cs="NewCenturySchlbk-Bold"/>
          <w:bCs/>
          <w:sz w:val="24"/>
        </w:rPr>
        <w:t>An official copy of the student’s application to register with a federal immigration program or federal deportation deferral program or a statement of intent that the student will seek to obtain citizenship as permitted under federal law; and</w:t>
      </w:r>
    </w:p>
    <w:p w14:paraId="7393619A" w14:textId="77777777" w:rsidR="00EB06D9" w:rsidRPr="00282BFE" w:rsidRDefault="00EB06D9" w:rsidP="00EB06D9">
      <w:pPr>
        <w:pStyle w:val="ListParagraph"/>
        <w:numPr>
          <w:ilvl w:val="2"/>
          <w:numId w:val="24"/>
        </w:numPr>
        <w:autoSpaceDE w:val="0"/>
        <w:autoSpaceDN w:val="0"/>
        <w:adjustRightInd w:val="0"/>
        <w:spacing w:before="120" w:after="120"/>
        <w:ind w:left="1440"/>
        <w:jc w:val="both"/>
        <w:rPr>
          <w:rFonts w:asciiTheme="minorHAnsi" w:hAnsiTheme="minorHAnsi" w:cs="NewCenturySchlbk-Bold"/>
          <w:bCs/>
          <w:sz w:val="24"/>
        </w:rPr>
      </w:pPr>
      <w:r w:rsidRPr="00282BFE">
        <w:rPr>
          <w:rFonts w:asciiTheme="minorHAnsi" w:hAnsiTheme="minorHAnsi" w:cs="NewCenturySchlbk-Bold"/>
          <w:bCs/>
          <w:sz w:val="24"/>
        </w:rPr>
        <w:t>An affidavit stating that the student has applied for a federal individual taxpayer identification number or other official federal identification document.</w:t>
      </w:r>
    </w:p>
    <w:p w14:paraId="78144994" w14:textId="77777777" w:rsidR="00EB06D9" w:rsidRPr="00282BFE" w:rsidRDefault="00EB06D9" w:rsidP="00EB06D9">
      <w:pPr>
        <w:pStyle w:val="ListParagraph"/>
        <w:numPr>
          <w:ilvl w:val="0"/>
          <w:numId w:val="24"/>
        </w:numPr>
        <w:autoSpaceDE w:val="0"/>
        <w:autoSpaceDN w:val="0"/>
        <w:adjustRightInd w:val="0"/>
        <w:spacing w:before="120" w:after="120"/>
        <w:ind w:left="720"/>
        <w:jc w:val="both"/>
        <w:rPr>
          <w:rFonts w:asciiTheme="minorHAnsi" w:hAnsiTheme="minorHAnsi" w:cs="NewCenturySchlbk-Bold"/>
          <w:bCs/>
          <w:sz w:val="24"/>
        </w:rPr>
      </w:pPr>
      <w:r w:rsidRPr="00282BFE">
        <w:rPr>
          <w:rFonts w:asciiTheme="minorHAnsi" w:hAnsiTheme="minorHAnsi"/>
          <w:sz w:val="24"/>
        </w:rPr>
        <w:t xml:space="preserve">Students who are </w:t>
      </w:r>
      <w:r w:rsidRPr="00282BFE">
        <w:rPr>
          <w:rFonts w:asciiTheme="minorHAnsi" w:hAnsiTheme="minorHAnsi" w:cs="NewCenturySchlbk-Bold"/>
          <w:bCs/>
          <w:sz w:val="24"/>
        </w:rPr>
        <w:t xml:space="preserve">financially dependent upon a person who is not a citizen or a lawful permanent resident of the United States if the student: </w:t>
      </w:r>
    </w:p>
    <w:p w14:paraId="3D579DB0" w14:textId="77777777" w:rsidR="00EB06D9" w:rsidRPr="00282BFE" w:rsidRDefault="00EB06D9" w:rsidP="00EB06D9">
      <w:pPr>
        <w:pStyle w:val="ListParagraph"/>
        <w:numPr>
          <w:ilvl w:val="1"/>
          <w:numId w:val="24"/>
        </w:numPr>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During each of the three years immediately prior to receiving a high school diploma or leaving school before receiving a high school diploma, attended an elementary or a secondary school in this state and resided in this state with the person upon whom the student is dependent;</w:t>
      </w:r>
    </w:p>
    <w:p w14:paraId="65494A91" w14:textId="77777777" w:rsidR="00EB06D9" w:rsidRPr="00282BFE" w:rsidRDefault="00EB06D9" w:rsidP="00EB06D9">
      <w:pPr>
        <w:pStyle w:val="ListParagraph"/>
        <w:numPr>
          <w:ilvl w:val="1"/>
          <w:numId w:val="24"/>
        </w:numPr>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During each of the five years immediately prior to receiving a high school diploma or leaving school before receiving a high school diploma, attended an elementary or a secondary school in any state or territory of the United States, the District of Columbia</w:t>
      </w:r>
      <w:r>
        <w:rPr>
          <w:rFonts w:asciiTheme="minorHAnsi" w:hAnsiTheme="minorHAnsi" w:cs="NewCenturySchlbk-Bold"/>
          <w:bCs/>
          <w:sz w:val="24"/>
        </w:rPr>
        <w:t>,</w:t>
      </w:r>
      <w:r w:rsidRPr="00282BFE">
        <w:rPr>
          <w:rFonts w:asciiTheme="minorHAnsi" w:hAnsiTheme="minorHAnsi" w:cs="NewCenturySchlbk-Bold"/>
          <w:bCs/>
          <w:sz w:val="24"/>
        </w:rPr>
        <w:t xml:space="preserve"> or the Commonwealth of Puerto Rico and resided with the person upon whom the student is dependent;</w:t>
      </w:r>
    </w:p>
    <w:p w14:paraId="47BE9084" w14:textId="77777777" w:rsidR="00EB06D9" w:rsidRPr="00282BFE" w:rsidRDefault="00EB06D9" w:rsidP="00EB06D9">
      <w:pPr>
        <w:pStyle w:val="ListParagraph"/>
        <w:numPr>
          <w:ilvl w:val="1"/>
          <w:numId w:val="24"/>
        </w:numPr>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No more than three years before initially enrolling in</w:t>
      </w:r>
      <w:r>
        <w:rPr>
          <w:rFonts w:asciiTheme="minorHAnsi" w:hAnsiTheme="minorHAnsi" w:cs="NewCenturySchlbk-Bold"/>
          <w:bCs/>
          <w:sz w:val="24"/>
        </w:rPr>
        <w:t xml:space="preserve"> Oregon Tech</w:t>
      </w:r>
      <w:r w:rsidRPr="00282BFE">
        <w:rPr>
          <w:rFonts w:asciiTheme="minorHAnsi" w:hAnsiTheme="minorHAnsi" w:cs="NewCenturySchlbk-Bold"/>
          <w:bCs/>
          <w:sz w:val="24"/>
        </w:rPr>
        <w:t xml:space="preserve">, received a high school diploma from a secondary school in this state or received the equivalent of a high school diploma; </w:t>
      </w:r>
      <w:r w:rsidRPr="00282BFE">
        <w:rPr>
          <w:rFonts w:asciiTheme="minorHAnsi" w:hAnsiTheme="minorHAnsi" w:cs="NewCenturySchlbk-Bold"/>
          <w:bCs/>
          <w:sz w:val="24"/>
          <w:u w:val="single"/>
        </w:rPr>
        <w:t>and</w:t>
      </w:r>
    </w:p>
    <w:p w14:paraId="74BAEABF" w14:textId="77777777" w:rsidR="00EB06D9" w:rsidRPr="00282BFE" w:rsidRDefault="00EB06D9" w:rsidP="00EB06D9">
      <w:pPr>
        <w:pStyle w:val="ListParagraph"/>
        <w:numPr>
          <w:ilvl w:val="1"/>
          <w:numId w:val="24"/>
        </w:numPr>
        <w:autoSpaceDE w:val="0"/>
        <w:autoSpaceDN w:val="0"/>
        <w:adjustRightInd w:val="0"/>
        <w:spacing w:before="120" w:after="120"/>
        <w:ind w:left="1080"/>
        <w:jc w:val="both"/>
        <w:rPr>
          <w:rFonts w:asciiTheme="minorHAnsi" w:hAnsiTheme="minorHAnsi" w:cs="NewCenturySchlbk-Bold"/>
          <w:bCs/>
          <w:sz w:val="24"/>
        </w:rPr>
      </w:pPr>
      <w:r w:rsidRPr="00282BFE">
        <w:rPr>
          <w:rFonts w:asciiTheme="minorHAnsi" w:hAnsiTheme="minorHAnsi" w:cs="NewCenturySchlbk-Bold"/>
          <w:bCs/>
          <w:sz w:val="24"/>
        </w:rPr>
        <w:t>For a student who is not already a citizen or lawful permanent resident of the United States, shows intention to become a citizen or a lawful permanent resident of the United States by submitting to the public university the student attends or plans to attend:</w:t>
      </w:r>
    </w:p>
    <w:p w14:paraId="41CC9693" w14:textId="77777777" w:rsidR="00EB06D9" w:rsidRPr="00282BFE" w:rsidRDefault="00EB06D9" w:rsidP="00EB06D9">
      <w:pPr>
        <w:pStyle w:val="ListParagraph"/>
        <w:numPr>
          <w:ilvl w:val="2"/>
          <w:numId w:val="24"/>
        </w:numPr>
        <w:autoSpaceDE w:val="0"/>
        <w:autoSpaceDN w:val="0"/>
        <w:adjustRightInd w:val="0"/>
        <w:spacing w:before="120" w:after="120"/>
        <w:ind w:left="1440"/>
        <w:jc w:val="both"/>
        <w:rPr>
          <w:rFonts w:asciiTheme="minorHAnsi" w:hAnsiTheme="minorHAnsi" w:cs="NewCenturySchlbk-Bold"/>
          <w:bCs/>
          <w:sz w:val="24"/>
        </w:rPr>
      </w:pPr>
      <w:r w:rsidRPr="00282BFE">
        <w:rPr>
          <w:rFonts w:asciiTheme="minorHAnsi" w:hAnsiTheme="minorHAnsi" w:cs="NewCenturySchlbk-Bold"/>
          <w:bCs/>
          <w:sz w:val="24"/>
        </w:rPr>
        <w:t>An official copy of the student’s application to register with a federal immigration program or federal deportation deferral program or a statement of intent that the student will seek to obtain citizenship as permitted under federal law; and</w:t>
      </w:r>
    </w:p>
    <w:p w14:paraId="60B96289" w14:textId="77777777" w:rsidR="00EB06D9" w:rsidRPr="00282BFE" w:rsidRDefault="00EB06D9" w:rsidP="00EB06D9">
      <w:pPr>
        <w:pStyle w:val="ListParagraph"/>
        <w:numPr>
          <w:ilvl w:val="2"/>
          <w:numId w:val="24"/>
        </w:numPr>
        <w:autoSpaceDE w:val="0"/>
        <w:autoSpaceDN w:val="0"/>
        <w:adjustRightInd w:val="0"/>
        <w:spacing w:before="120" w:after="120"/>
        <w:ind w:left="1440"/>
        <w:jc w:val="both"/>
        <w:rPr>
          <w:rFonts w:asciiTheme="minorHAnsi" w:hAnsiTheme="minorHAnsi" w:cs="NewCenturySchlbk-Bold"/>
          <w:bCs/>
          <w:sz w:val="24"/>
        </w:rPr>
      </w:pPr>
      <w:r w:rsidRPr="00282BFE">
        <w:rPr>
          <w:rFonts w:asciiTheme="minorHAnsi" w:hAnsiTheme="minorHAnsi" w:cs="NewCenturySchlbk-Bold"/>
          <w:bCs/>
          <w:sz w:val="24"/>
        </w:rPr>
        <w:t>An affidavit stating that the student has applied for a federal individual taxpayer identification number or other official federal identification document.</w:t>
      </w:r>
    </w:p>
    <w:p w14:paraId="43061981" w14:textId="77777777" w:rsidR="00EB06D9" w:rsidRPr="00282BFE" w:rsidRDefault="00EB06D9" w:rsidP="00EB06D9">
      <w:pPr>
        <w:autoSpaceDE w:val="0"/>
        <w:autoSpaceDN w:val="0"/>
        <w:adjustRightInd w:val="0"/>
        <w:spacing w:before="120" w:after="120"/>
        <w:ind w:left="360"/>
        <w:jc w:val="both"/>
        <w:rPr>
          <w:rFonts w:asciiTheme="minorHAnsi" w:hAnsiTheme="minorHAnsi" w:cs="NewCenturySchlbk-Bold"/>
          <w:bCs/>
          <w:sz w:val="24"/>
        </w:rPr>
      </w:pPr>
      <w:r w:rsidRPr="00282BFE">
        <w:rPr>
          <w:rFonts w:asciiTheme="minorHAnsi" w:hAnsiTheme="minorHAnsi" w:cs="NewCenturySchlbk-Bold"/>
          <w:bCs/>
          <w:sz w:val="24"/>
        </w:rPr>
        <w:lastRenderedPageBreak/>
        <w:t>A student will continue to qualify for exemption from nonresident tuition and fees (e.g., be able to pay in-state tuition rates) under subsection (1) or (2) above for five years after initial enrollment.</w:t>
      </w:r>
    </w:p>
    <w:p w14:paraId="5C0D4DBE" w14:textId="77777777" w:rsidR="00EB06D9" w:rsidRPr="00282BFE" w:rsidRDefault="00EB06D9" w:rsidP="00EB06D9">
      <w:pPr>
        <w:autoSpaceDE w:val="0"/>
        <w:autoSpaceDN w:val="0"/>
        <w:adjustRightInd w:val="0"/>
        <w:spacing w:before="120" w:after="120"/>
        <w:ind w:left="360"/>
        <w:jc w:val="both"/>
        <w:rPr>
          <w:rFonts w:asciiTheme="minorHAnsi" w:hAnsiTheme="minorHAnsi" w:cs="NewCenturySchlbk-Bold"/>
          <w:bCs/>
          <w:sz w:val="24"/>
        </w:rPr>
      </w:pPr>
      <w:r w:rsidRPr="00282BFE">
        <w:rPr>
          <w:rFonts w:asciiTheme="minorHAnsi" w:hAnsiTheme="minorHAnsi" w:cs="NewCenturySchlbk-Bold"/>
          <w:bCs/>
          <w:sz w:val="24"/>
        </w:rPr>
        <w:t xml:space="preserve">A student who is a citizen or a lawful permanent resident of the United States and who has resided outside of Oregon for more than three years while serving in the Armed Forces of the United States, but who otherwise meets the requirements of subsection (1) or (2) above, shall qualify for exemption from nonresident tuition and fees for enrollment in </w:t>
      </w:r>
      <w:r>
        <w:rPr>
          <w:rFonts w:asciiTheme="minorHAnsi" w:hAnsiTheme="minorHAnsi" w:cs="NewCenturySchlbk-Bold"/>
          <w:bCs/>
          <w:sz w:val="24"/>
        </w:rPr>
        <w:t>Oregon Tech</w:t>
      </w:r>
      <w:r w:rsidRPr="00282BFE">
        <w:rPr>
          <w:rFonts w:asciiTheme="minorHAnsi" w:hAnsiTheme="minorHAnsi" w:cs="NewCenturySchlbk-Bold"/>
          <w:bCs/>
          <w:sz w:val="24"/>
        </w:rPr>
        <w:t xml:space="preserve"> without having to reestablish residency in Oregon.</w:t>
      </w:r>
    </w:p>
    <w:p w14:paraId="056C50BD" w14:textId="77777777" w:rsidR="00EB06D9" w:rsidRPr="00282BFE" w:rsidRDefault="00EB06D9" w:rsidP="00EB06D9">
      <w:pPr>
        <w:pStyle w:val="Heading4"/>
        <w:spacing w:after="120"/>
        <w:ind w:left="360"/>
        <w:jc w:val="left"/>
        <w:rPr>
          <w:rFonts w:asciiTheme="minorHAnsi" w:hAnsiTheme="minorHAnsi"/>
          <w:szCs w:val="24"/>
        </w:rPr>
      </w:pPr>
      <w:bookmarkStart w:id="52" w:name="_Toc421521580"/>
      <w:r w:rsidRPr="00282BFE">
        <w:rPr>
          <w:rFonts w:asciiTheme="minorHAnsi" w:hAnsiTheme="minorHAnsi"/>
          <w:szCs w:val="24"/>
        </w:rPr>
        <w:t>Reduced Tuition Benefit for Academic and Classified Employees</w:t>
      </w:r>
      <w:bookmarkEnd w:id="52"/>
    </w:p>
    <w:p w14:paraId="2762068D" w14:textId="77777777" w:rsidR="00EB06D9" w:rsidRPr="00282BFE" w:rsidRDefault="00EB06D9" w:rsidP="00EB06D9">
      <w:pPr>
        <w:spacing w:before="120" w:after="120"/>
        <w:ind w:left="360" w:right="14"/>
        <w:jc w:val="both"/>
        <w:rPr>
          <w:rFonts w:asciiTheme="minorHAnsi" w:hAnsiTheme="minorHAnsi"/>
          <w:i/>
          <w:sz w:val="24"/>
          <w:u w:val="single"/>
        </w:rPr>
      </w:pPr>
      <w:r w:rsidRPr="00282BFE">
        <w:rPr>
          <w:rFonts w:asciiTheme="minorHAnsi" w:hAnsiTheme="minorHAnsi"/>
          <w:sz w:val="24"/>
        </w:rPr>
        <w:t xml:space="preserve">The academic term rate for employees is 30% of resident </w:t>
      </w:r>
      <w:r>
        <w:rPr>
          <w:rFonts w:asciiTheme="minorHAnsi" w:hAnsiTheme="minorHAnsi"/>
          <w:sz w:val="24"/>
        </w:rPr>
        <w:t>u</w:t>
      </w:r>
      <w:r w:rsidRPr="00282BFE">
        <w:rPr>
          <w:rFonts w:asciiTheme="minorHAnsi" w:hAnsiTheme="minorHAnsi"/>
          <w:sz w:val="24"/>
        </w:rPr>
        <w:t xml:space="preserve">ndergraduate tuition assessed at the teaching institution, rounded to the nearest dollar. For </w:t>
      </w:r>
      <w:r>
        <w:rPr>
          <w:rFonts w:asciiTheme="minorHAnsi" w:hAnsiTheme="minorHAnsi"/>
          <w:sz w:val="24"/>
        </w:rPr>
        <w:t>Oregon Tech</w:t>
      </w:r>
      <w:r w:rsidRPr="00282BFE">
        <w:rPr>
          <w:rFonts w:asciiTheme="minorHAnsi" w:hAnsiTheme="minorHAnsi"/>
          <w:sz w:val="24"/>
        </w:rPr>
        <w:t xml:space="preserve"> where an </w:t>
      </w:r>
      <w:r>
        <w:rPr>
          <w:rFonts w:asciiTheme="minorHAnsi" w:hAnsiTheme="minorHAnsi"/>
          <w:sz w:val="24"/>
        </w:rPr>
        <w:t>undergraduate</w:t>
      </w:r>
      <w:r w:rsidRPr="00282BFE">
        <w:rPr>
          <w:rFonts w:asciiTheme="minorHAnsi" w:hAnsiTheme="minorHAnsi"/>
          <w:sz w:val="24"/>
        </w:rPr>
        <w:t xml:space="preserve"> differential tuition structure is in effect, the staff fee rate will be </w:t>
      </w:r>
      <w:r w:rsidRPr="00282BFE">
        <w:rPr>
          <w:rFonts w:asciiTheme="minorHAnsi" w:hAnsiTheme="minorHAnsi"/>
          <w:i/>
          <w:sz w:val="24"/>
          <w:u w:val="single"/>
        </w:rPr>
        <w:t xml:space="preserve">charged at the “regular” (not differential) resident </w:t>
      </w:r>
      <w:r>
        <w:rPr>
          <w:rFonts w:asciiTheme="minorHAnsi" w:hAnsiTheme="minorHAnsi"/>
          <w:i/>
          <w:sz w:val="24"/>
          <w:u w:val="single"/>
        </w:rPr>
        <w:t>u</w:t>
      </w:r>
      <w:r w:rsidRPr="00282BFE">
        <w:rPr>
          <w:rFonts w:asciiTheme="minorHAnsi" w:hAnsiTheme="minorHAnsi"/>
          <w:i/>
          <w:sz w:val="24"/>
          <w:u w:val="single"/>
        </w:rPr>
        <w:t xml:space="preserve">ndergraduate tuition rate for both </w:t>
      </w:r>
      <w:r>
        <w:rPr>
          <w:rFonts w:asciiTheme="minorHAnsi" w:hAnsiTheme="minorHAnsi"/>
          <w:i/>
          <w:sz w:val="24"/>
          <w:u w:val="single"/>
        </w:rPr>
        <w:t>u</w:t>
      </w:r>
      <w:r w:rsidRPr="00282BFE">
        <w:rPr>
          <w:rFonts w:asciiTheme="minorHAnsi" w:hAnsiTheme="minorHAnsi"/>
          <w:i/>
          <w:sz w:val="24"/>
          <w:u w:val="single"/>
        </w:rPr>
        <w:t>ndergraduate and graduate student employees</w:t>
      </w:r>
      <w:r w:rsidRPr="00B16F99">
        <w:rPr>
          <w:rFonts w:asciiTheme="minorHAnsi" w:hAnsiTheme="minorHAnsi"/>
          <w:i/>
          <w:sz w:val="24"/>
        </w:rPr>
        <w:t>.</w:t>
      </w:r>
      <w:r w:rsidRPr="00282BFE">
        <w:rPr>
          <w:rFonts w:asciiTheme="minorHAnsi" w:hAnsiTheme="minorHAnsi"/>
          <w:i/>
          <w:sz w:val="24"/>
          <w:u w:val="single"/>
        </w:rPr>
        <w:t xml:space="preserve"> </w:t>
      </w:r>
    </w:p>
    <w:p w14:paraId="76A22949"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sz w:val="24"/>
        </w:rPr>
        <w:t>Charges for Building, Health Service, Recreation, Student Union, and Incidental Fees do not apply; nor are employees entitled to health services or incidental fee services through this program. No Application Fee will be required for employees and no breakage or other deposit is required when registering for classes. Other fees such as lab or course fees are assessed at the full rate and no discount is provided.</w:t>
      </w:r>
    </w:p>
    <w:p w14:paraId="4616BC19"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 xml:space="preserve">Staff fees are not applicable to certain courses. For a complete reference list of excluded programs, please go to </w:t>
      </w:r>
      <w:hyperlink r:id="rId10" w:history="1">
        <w:r w:rsidRPr="00DF526D">
          <w:rPr>
            <w:rStyle w:val="Hyperlink"/>
          </w:rPr>
          <w:t>http://www.oit.edu/faculty-staff/human-resources/benefits/staff-fee-privilege</w:t>
        </w:r>
      </w:hyperlink>
      <w:r w:rsidRPr="00554071">
        <w:rPr>
          <w:rStyle w:val="Hyperlink"/>
          <w:rFonts w:asciiTheme="minorHAnsi" w:hAnsiTheme="minorHAnsi"/>
          <w:sz w:val="24"/>
          <w:u w:val="none"/>
        </w:rPr>
        <w:t>.</w:t>
      </w:r>
      <w:r>
        <w:rPr>
          <w:rStyle w:val="Hyperlink"/>
          <w:rFonts w:asciiTheme="minorHAnsi" w:hAnsiTheme="minorHAnsi"/>
          <w:sz w:val="24"/>
          <w:u w:val="none"/>
        </w:rPr>
        <w:t xml:space="preserve"> </w:t>
      </w:r>
      <w:r w:rsidRPr="00282BFE">
        <w:rPr>
          <w:rFonts w:asciiTheme="minorHAnsi" w:hAnsiTheme="minorHAnsi"/>
          <w:sz w:val="24"/>
        </w:rPr>
        <w:t>Excluded programs are determined at the discretion of the institution’s president and the notice of exclusion must be filed with the institution’s Registrar</w:t>
      </w:r>
      <w:r>
        <w:rPr>
          <w:rFonts w:asciiTheme="minorHAnsi" w:hAnsiTheme="minorHAnsi"/>
          <w:sz w:val="24"/>
        </w:rPr>
        <w:t>s</w:t>
      </w:r>
      <w:r w:rsidRPr="00282BFE">
        <w:rPr>
          <w:rFonts w:asciiTheme="minorHAnsi" w:hAnsiTheme="minorHAnsi"/>
          <w:sz w:val="24"/>
        </w:rPr>
        <w:t xml:space="preserve">’ office prior to the first day of registration for a term. </w:t>
      </w:r>
    </w:p>
    <w:p w14:paraId="713AD82E" w14:textId="77777777" w:rsidR="00EB06D9" w:rsidRPr="00282BFE" w:rsidRDefault="00EB06D9" w:rsidP="00EB06D9">
      <w:pPr>
        <w:spacing w:before="120" w:after="120" w:line="2" w:lineRule="exact"/>
        <w:ind w:left="360" w:right="14"/>
        <w:rPr>
          <w:rFonts w:asciiTheme="minorHAnsi" w:hAnsiTheme="minorHAnsi"/>
          <w:sz w:val="24"/>
        </w:rPr>
      </w:pPr>
    </w:p>
    <w:p w14:paraId="79845963"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On approval of the president or designee of the teaching institution and with the concurrence of the employee’s immediate supervisor, the staff fee is available to employees appointed at half-time (.5</w:t>
      </w:r>
      <w:r>
        <w:rPr>
          <w:rFonts w:asciiTheme="minorHAnsi" w:hAnsiTheme="minorHAnsi"/>
          <w:sz w:val="24"/>
        </w:rPr>
        <w:t> </w:t>
      </w:r>
      <w:r w:rsidRPr="00282BFE">
        <w:rPr>
          <w:rFonts w:asciiTheme="minorHAnsi" w:hAnsiTheme="minorHAnsi"/>
          <w:sz w:val="24"/>
        </w:rPr>
        <w:t xml:space="preserve">FTE) or more (not including temporary classified employees or other student employees). </w:t>
      </w:r>
    </w:p>
    <w:p w14:paraId="656634C2" w14:textId="1E5DE271"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To qualify for this fee, the staff member must meet the criteria no later than the first day of classes of the term of enrollment. The maximum number of credits to which the staff fee may be applied is 12</w:t>
      </w:r>
      <w:r>
        <w:rPr>
          <w:rFonts w:asciiTheme="minorHAnsi" w:hAnsiTheme="minorHAnsi"/>
          <w:sz w:val="24"/>
        </w:rPr>
        <w:t> </w:t>
      </w:r>
      <w:r w:rsidRPr="00282BFE">
        <w:rPr>
          <w:rFonts w:asciiTheme="minorHAnsi" w:hAnsiTheme="minorHAnsi"/>
          <w:sz w:val="24"/>
        </w:rPr>
        <w:t xml:space="preserve">credits per quarter or per semester. See exception for retired employees and employees on leave, Section (d) of </w:t>
      </w:r>
      <w:r w:rsidR="000D2D52">
        <w:rPr>
          <w:rFonts w:asciiTheme="minorHAnsi" w:hAnsiTheme="minorHAnsi"/>
          <w:sz w:val="24"/>
        </w:rPr>
        <w:t>University Policy</w:t>
      </w:r>
      <w:r w:rsidRPr="00282BFE">
        <w:rPr>
          <w:rFonts w:asciiTheme="minorHAnsi" w:hAnsiTheme="minorHAnsi"/>
          <w:sz w:val="24"/>
        </w:rPr>
        <w:t xml:space="preserve">. </w:t>
      </w:r>
    </w:p>
    <w:p w14:paraId="1D02D1D1"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 xml:space="preserve">Employees enrolled for more than 12 credits in one term will pay for each additional credit at the campus designated per credit tuition rate applicable to resident </w:t>
      </w:r>
      <w:r>
        <w:rPr>
          <w:rFonts w:asciiTheme="minorHAnsi" w:hAnsiTheme="minorHAnsi"/>
          <w:sz w:val="24"/>
        </w:rPr>
        <w:t>undergraduate</w:t>
      </w:r>
      <w:r w:rsidRPr="00282BFE">
        <w:rPr>
          <w:rFonts w:asciiTheme="minorHAnsi" w:hAnsiTheme="minorHAnsi"/>
          <w:sz w:val="24"/>
        </w:rPr>
        <w:t xml:space="preserve"> or graduate students, depending upon the employee’s degree status. </w:t>
      </w:r>
    </w:p>
    <w:p w14:paraId="10380284"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 xml:space="preserve">For purposes of this rule, the term "employee" may include persons with full-time courtesy appointments who provide a benefit to the institution in the form of teaching, research, or counseling, under the direction of the institution and using the facilities of the institution. </w:t>
      </w:r>
    </w:p>
    <w:p w14:paraId="4FC52F49"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 xml:space="preserve">Retired employees and employees on leave are eligible for staff fee privileges. Subject to the approval of the president or designee of the teaching institution, the maximum credit limitation may be waived for retired employees and for employees on leave. See exception under Senior Citizen Tuition. </w:t>
      </w:r>
    </w:p>
    <w:p w14:paraId="5AB3D93C"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 xml:space="preserve">Employees who use the staff fee for courses away from their home institution are subject to staff fee policies and procedures of the instructing institution. </w:t>
      </w:r>
      <w:r w:rsidRPr="00282BFE">
        <w:rPr>
          <w:rFonts w:asciiTheme="minorHAnsi" w:hAnsiTheme="minorHAnsi"/>
          <w:i/>
          <w:sz w:val="24"/>
        </w:rPr>
        <w:t>There is no fee plateau at any campus for employees, family and dependents, or retired staff.</w:t>
      </w:r>
    </w:p>
    <w:p w14:paraId="40A1CB35"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 xml:space="preserve">Employees may be permitted to take </w:t>
      </w:r>
      <w:r w:rsidRPr="00282BFE">
        <w:rPr>
          <w:rFonts w:asciiTheme="minorHAnsi" w:hAnsiTheme="minorHAnsi"/>
          <w:i/>
          <w:sz w:val="24"/>
        </w:rPr>
        <w:t>noncredit</w:t>
      </w:r>
      <w:r w:rsidRPr="00282BFE">
        <w:rPr>
          <w:rFonts w:asciiTheme="minorHAnsi" w:hAnsiTheme="minorHAnsi"/>
          <w:sz w:val="24"/>
        </w:rPr>
        <w:t xml:space="preserve"> courses at </w:t>
      </w:r>
      <w:r w:rsidRPr="00282BFE">
        <w:rPr>
          <w:rFonts w:asciiTheme="minorHAnsi" w:hAnsiTheme="minorHAnsi"/>
          <w:i/>
          <w:sz w:val="24"/>
        </w:rPr>
        <w:t>one-third</w:t>
      </w:r>
      <w:r w:rsidRPr="00282BFE">
        <w:rPr>
          <w:rFonts w:asciiTheme="minorHAnsi" w:hAnsiTheme="minorHAnsi"/>
          <w:sz w:val="24"/>
        </w:rPr>
        <w:t xml:space="preserve"> of the fee assessed to other registrants. Teaching units are not required to extend staff fees for noncredit courses, self-sustaining workshops, or self-support credit courses. </w:t>
      </w:r>
    </w:p>
    <w:p w14:paraId="19FD8620"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lastRenderedPageBreak/>
        <w:t xml:space="preserve">Employees on furlough or lay-off status may be eligible for staff fees in accordance with provisions of a collective bargaining agreement. </w:t>
      </w:r>
    </w:p>
    <w:p w14:paraId="2E0F333F"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No tuition shall be assessed to courses enrolled in by employees with a grading option of ‘audit</w:t>
      </w:r>
      <w:r>
        <w:rPr>
          <w:rFonts w:asciiTheme="minorHAnsi" w:hAnsiTheme="minorHAnsi"/>
          <w:sz w:val="24"/>
        </w:rPr>
        <w:t>.</w:t>
      </w:r>
      <w:r w:rsidRPr="00282BFE">
        <w:rPr>
          <w:rFonts w:asciiTheme="minorHAnsi" w:hAnsiTheme="minorHAnsi"/>
          <w:sz w:val="24"/>
        </w:rPr>
        <w:t xml:space="preserve">’ Attendance under such condition must be with the instructor’s consent and on a space-available basis. Institutions are required to maintain a record of the courses audited. Courses approved for audit by the instructor confer no credit to the student, are not charged staff fee rates or regular tuition, and may be used in addition to staff fee privileges during a term. However, any applicable course, lab or material fees associated with auditing for-credit classes will be assessed by the institution and is the responsibility of the employee. This provision cannot be subdivided in conjunction with the Employee Family Member and Domestic Partner Transfer provisions. </w:t>
      </w:r>
    </w:p>
    <w:p w14:paraId="182DC584" w14:textId="77777777" w:rsidR="00EB06D9" w:rsidRPr="00282BFE" w:rsidRDefault="00EB06D9" w:rsidP="00EB06D9">
      <w:pPr>
        <w:numPr>
          <w:ilvl w:val="0"/>
          <w:numId w:val="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 xml:space="preserve">The benefit may be used at any </w:t>
      </w:r>
      <w:r>
        <w:rPr>
          <w:rFonts w:asciiTheme="minorHAnsi" w:hAnsiTheme="minorHAnsi"/>
          <w:sz w:val="24"/>
        </w:rPr>
        <w:t>Oregon Public University</w:t>
      </w:r>
      <w:r w:rsidRPr="00282BFE">
        <w:rPr>
          <w:rFonts w:asciiTheme="minorHAnsi" w:hAnsiTheme="minorHAnsi"/>
          <w:sz w:val="24"/>
        </w:rPr>
        <w:t xml:space="preserve">. </w:t>
      </w:r>
    </w:p>
    <w:p w14:paraId="2EFF1353" w14:textId="12C4D7E1" w:rsidR="00EB06D9" w:rsidRPr="00282BFE" w:rsidRDefault="00EB06D9" w:rsidP="00EB06D9">
      <w:pPr>
        <w:spacing w:before="120" w:after="120"/>
        <w:ind w:left="360" w:right="14"/>
        <w:rPr>
          <w:rFonts w:asciiTheme="minorHAnsi" w:hAnsiTheme="minorHAnsi"/>
          <w:i/>
          <w:iCs/>
          <w:sz w:val="24"/>
        </w:rPr>
      </w:pPr>
      <w:r w:rsidRPr="00282BFE">
        <w:rPr>
          <w:rFonts w:asciiTheme="minorHAnsi" w:hAnsiTheme="minorHAnsi"/>
          <w:i/>
          <w:iCs/>
          <w:sz w:val="24"/>
        </w:rPr>
        <w:t xml:space="preserve">Administrative Authority: </w:t>
      </w:r>
      <w:r w:rsidR="000D2D52">
        <w:rPr>
          <w:rFonts w:asciiTheme="minorHAnsi" w:hAnsiTheme="minorHAnsi"/>
          <w:i/>
          <w:iCs/>
          <w:sz w:val="24"/>
        </w:rPr>
        <w:t xml:space="preserve">University Policy </w:t>
      </w:r>
      <w:r w:rsidRPr="00282BFE">
        <w:rPr>
          <w:rFonts w:asciiTheme="minorHAnsi" w:hAnsiTheme="minorHAnsi"/>
          <w:i/>
          <w:iCs/>
          <w:sz w:val="24"/>
        </w:rPr>
        <w:t>Staff Fee Privileges</w:t>
      </w:r>
    </w:p>
    <w:p w14:paraId="0A951DBD" w14:textId="77777777" w:rsidR="00EB06D9" w:rsidRPr="00282BFE" w:rsidRDefault="00EB06D9" w:rsidP="00EB06D9">
      <w:pPr>
        <w:pStyle w:val="Heading4"/>
        <w:spacing w:after="120"/>
        <w:ind w:left="360"/>
        <w:jc w:val="left"/>
        <w:rPr>
          <w:rFonts w:asciiTheme="minorHAnsi" w:hAnsiTheme="minorHAnsi"/>
          <w:szCs w:val="24"/>
        </w:rPr>
      </w:pPr>
      <w:bookmarkStart w:id="53" w:name="_Toc421521581"/>
      <w:r w:rsidRPr="00282BFE">
        <w:rPr>
          <w:rFonts w:asciiTheme="minorHAnsi" w:hAnsiTheme="minorHAnsi"/>
          <w:szCs w:val="24"/>
        </w:rPr>
        <w:t>Reduced Tuition Benefit for Family Members and Domestic Partners of Employees</w:t>
      </w:r>
      <w:bookmarkEnd w:id="53"/>
    </w:p>
    <w:p w14:paraId="15A2932F"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 xml:space="preserve">To improve the recruitment and retention of high quality faculty and staff </w:t>
      </w:r>
      <w:r>
        <w:rPr>
          <w:rFonts w:asciiTheme="minorHAnsi" w:hAnsiTheme="minorHAnsi"/>
          <w:sz w:val="24"/>
        </w:rPr>
        <w:t>at Oregon’s public universities</w:t>
      </w:r>
      <w:r w:rsidRPr="00282BFE">
        <w:rPr>
          <w:rFonts w:asciiTheme="minorHAnsi" w:hAnsiTheme="minorHAnsi"/>
          <w:sz w:val="24"/>
        </w:rPr>
        <w:t>, the staff fee policy is extended to qualified family members, eligible dependents, as well as domestic partners and their eligible dependents on a limited basis.</w:t>
      </w:r>
    </w:p>
    <w:p w14:paraId="18F53C68" w14:textId="77777777" w:rsidR="00EB06D9" w:rsidRPr="00282BFE" w:rsidRDefault="00EB06D9" w:rsidP="00EB06D9">
      <w:pPr>
        <w:spacing w:before="120" w:after="120"/>
        <w:ind w:left="360" w:right="14"/>
        <w:jc w:val="both"/>
        <w:rPr>
          <w:rFonts w:asciiTheme="minorHAnsi" w:hAnsiTheme="minorHAnsi"/>
          <w:i/>
          <w:sz w:val="24"/>
          <w:u w:val="single"/>
        </w:rPr>
      </w:pPr>
      <w:r w:rsidRPr="00282BFE">
        <w:rPr>
          <w:rFonts w:asciiTheme="minorHAnsi" w:hAnsiTheme="minorHAnsi"/>
          <w:sz w:val="24"/>
        </w:rPr>
        <w:t xml:space="preserve">The academic term rate for family members is 30% of resident </w:t>
      </w:r>
      <w:r>
        <w:rPr>
          <w:rFonts w:asciiTheme="minorHAnsi" w:hAnsiTheme="minorHAnsi"/>
          <w:sz w:val="24"/>
        </w:rPr>
        <w:t>u</w:t>
      </w:r>
      <w:r w:rsidRPr="00282BFE">
        <w:rPr>
          <w:rFonts w:asciiTheme="minorHAnsi" w:hAnsiTheme="minorHAnsi"/>
          <w:sz w:val="24"/>
        </w:rPr>
        <w:t xml:space="preserve">ndergraduate tuition assessed at the teaching institution, rounded to the nearest dollar. For campuses where an </w:t>
      </w:r>
      <w:r>
        <w:rPr>
          <w:rFonts w:asciiTheme="minorHAnsi" w:hAnsiTheme="minorHAnsi"/>
          <w:sz w:val="24"/>
        </w:rPr>
        <w:t>u</w:t>
      </w:r>
      <w:r w:rsidRPr="00282BFE">
        <w:rPr>
          <w:rFonts w:asciiTheme="minorHAnsi" w:hAnsiTheme="minorHAnsi"/>
          <w:sz w:val="24"/>
        </w:rPr>
        <w:t xml:space="preserve">ndergraduate differential tuition structure is in effect, the staff fee rate will be </w:t>
      </w:r>
      <w:r w:rsidRPr="00282BFE">
        <w:rPr>
          <w:rFonts w:asciiTheme="minorHAnsi" w:hAnsiTheme="minorHAnsi"/>
          <w:i/>
          <w:sz w:val="24"/>
          <w:u w:val="single"/>
        </w:rPr>
        <w:t xml:space="preserve">charged at the “regular” (not differential) resident </w:t>
      </w:r>
      <w:r>
        <w:rPr>
          <w:rFonts w:asciiTheme="minorHAnsi" w:hAnsiTheme="minorHAnsi"/>
          <w:i/>
          <w:sz w:val="24"/>
          <w:u w:val="single"/>
        </w:rPr>
        <w:t>undergraduate</w:t>
      </w:r>
      <w:r w:rsidRPr="00282BFE">
        <w:rPr>
          <w:rFonts w:asciiTheme="minorHAnsi" w:hAnsiTheme="minorHAnsi"/>
          <w:i/>
          <w:sz w:val="24"/>
          <w:u w:val="single"/>
        </w:rPr>
        <w:t xml:space="preserve"> tuition rate for both </w:t>
      </w:r>
      <w:r>
        <w:rPr>
          <w:rFonts w:asciiTheme="minorHAnsi" w:hAnsiTheme="minorHAnsi"/>
          <w:i/>
          <w:sz w:val="24"/>
          <w:u w:val="single"/>
        </w:rPr>
        <w:t>undergraduate</w:t>
      </w:r>
      <w:r w:rsidRPr="00282BFE">
        <w:rPr>
          <w:rFonts w:asciiTheme="minorHAnsi" w:hAnsiTheme="minorHAnsi"/>
          <w:i/>
          <w:sz w:val="24"/>
          <w:u w:val="single"/>
        </w:rPr>
        <w:t xml:space="preserve"> and graduate student employees</w:t>
      </w:r>
      <w:r w:rsidRPr="00371E63">
        <w:rPr>
          <w:rFonts w:asciiTheme="minorHAnsi" w:hAnsiTheme="minorHAnsi"/>
          <w:i/>
          <w:sz w:val="24"/>
        </w:rPr>
        <w:t>.</w:t>
      </w:r>
      <w:r w:rsidRPr="00282BFE">
        <w:rPr>
          <w:rFonts w:asciiTheme="minorHAnsi" w:hAnsiTheme="minorHAnsi"/>
          <w:i/>
          <w:sz w:val="24"/>
          <w:u w:val="single"/>
        </w:rPr>
        <w:t xml:space="preserve"> </w:t>
      </w:r>
    </w:p>
    <w:p w14:paraId="131B1C74"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Qualified family members including spouse, domestic partners, and dependents receiving the transferred benefit are responsible for all mandatory enrollment fees such as Building, Health, Recreation, Student Union, Incidental, Matriculation</w:t>
      </w:r>
      <w:r>
        <w:rPr>
          <w:rFonts w:asciiTheme="minorHAnsi" w:hAnsiTheme="minorHAnsi"/>
          <w:sz w:val="24"/>
        </w:rPr>
        <w:t>,</w:t>
      </w:r>
      <w:r w:rsidRPr="00282BFE">
        <w:rPr>
          <w:rFonts w:asciiTheme="minorHAnsi" w:hAnsiTheme="minorHAnsi"/>
          <w:sz w:val="24"/>
        </w:rPr>
        <w:t xml:space="preserve"> and Other fees (Laboratory/Course Fees, Late fees, and Registration fees), if applicable. Breakage and/or other mandatory application deposits are required of the participating family member to register for classes.</w:t>
      </w:r>
    </w:p>
    <w:p w14:paraId="121F4A3C"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 xml:space="preserve">Staff fees are not applicable to certain courses. For a complete reference list of excluded programs, please go to </w:t>
      </w:r>
      <w:hyperlink r:id="rId11" w:history="1">
        <w:r w:rsidRPr="00DF526D">
          <w:rPr>
            <w:rStyle w:val="Hyperlink"/>
            <w:rFonts w:asciiTheme="minorHAnsi" w:hAnsiTheme="minorHAnsi"/>
            <w:sz w:val="24"/>
          </w:rPr>
          <w:t>http://www.oit.edu/faculty-staff/human-resources/benefits/staff-fee-privilege</w:t>
        </w:r>
      </w:hyperlink>
      <w:r>
        <w:rPr>
          <w:rFonts w:asciiTheme="minorHAnsi" w:hAnsiTheme="minorHAnsi"/>
          <w:sz w:val="24"/>
        </w:rPr>
        <w:t xml:space="preserve">. </w:t>
      </w:r>
      <w:r w:rsidRPr="00282BFE">
        <w:rPr>
          <w:rFonts w:asciiTheme="minorHAnsi" w:hAnsiTheme="minorHAnsi"/>
          <w:sz w:val="24"/>
        </w:rPr>
        <w:t xml:space="preserve">Excluded programs are determined at the discretion of the institution’s president and the notice of exclusion must be filed with the institution’s Registrars’ office prior to the first day of registration for a term. </w:t>
      </w:r>
    </w:p>
    <w:p w14:paraId="556FAD32"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 xml:space="preserve">The staff fee provisions may be transferred to a qualified family member or domestic partner of employees appointed at half-time (.5 FTE) or more (not including temporary classified employees, graduate assistants, or other student employees). Employee eligibility is verified through Human Resource System records. To qualify for this fee, the family member, domestic partner, or eligible dependent must meet the criteria no later than two weeks prior to the first day of classes of the term of enrollment. </w:t>
      </w:r>
    </w:p>
    <w:p w14:paraId="3854495B"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For purposes of this policy, the eligible family members include spouse, domestic partner, dependent children</w:t>
      </w:r>
      <w:r>
        <w:rPr>
          <w:rFonts w:asciiTheme="minorHAnsi" w:hAnsiTheme="minorHAnsi"/>
          <w:sz w:val="24"/>
        </w:rPr>
        <w:t>,</w:t>
      </w:r>
      <w:r w:rsidRPr="00282BFE">
        <w:rPr>
          <w:rFonts w:asciiTheme="minorHAnsi" w:hAnsiTheme="minorHAnsi"/>
          <w:sz w:val="24"/>
        </w:rPr>
        <w:t xml:space="preserve"> and dependent children of domestic partners in accordance with IRS Code 152 and Section One of the Public Employees Benefit Board. If requested to do so, the employee is expected to verify family member or domestic partner eligibility by providing documented proof such as a tax return from the prior year. </w:t>
      </w:r>
    </w:p>
    <w:p w14:paraId="148EFB02"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The maximum number of transferrable credits is 12 credits per quarter or per semester. Only one staff member, spouse, domestic partner</w:t>
      </w:r>
      <w:r>
        <w:rPr>
          <w:rFonts w:asciiTheme="minorHAnsi" w:hAnsiTheme="minorHAnsi"/>
          <w:sz w:val="24"/>
        </w:rPr>
        <w:t>,</w:t>
      </w:r>
      <w:r w:rsidRPr="00282BFE">
        <w:rPr>
          <w:rFonts w:asciiTheme="minorHAnsi" w:hAnsiTheme="minorHAnsi"/>
          <w:sz w:val="24"/>
        </w:rPr>
        <w:t xml:space="preserve"> or dependent may use the staff fee benefit per term or semester. The benefit may not be subdivided among family members during a term. </w:t>
      </w:r>
    </w:p>
    <w:p w14:paraId="4C403220"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lastRenderedPageBreak/>
        <w:t xml:space="preserve">The qualified family member or domestic partner enrolled for more than 12 credits in one term must pay for </w:t>
      </w:r>
      <w:r w:rsidRPr="00282BFE">
        <w:rPr>
          <w:rFonts w:asciiTheme="minorHAnsi" w:hAnsiTheme="minorHAnsi"/>
          <w:i/>
          <w:sz w:val="24"/>
        </w:rPr>
        <w:t xml:space="preserve">additional credits </w:t>
      </w:r>
      <w:r w:rsidRPr="00282BFE">
        <w:rPr>
          <w:rFonts w:asciiTheme="minorHAnsi" w:hAnsiTheme="minorHAnsi"/>
          <w:sz w:val="24"/>
        </w:rPr>
        <w:t xml:space="preserve">at the per credit tuition rate applicable to resident </w:t>
      </w:r>
      <w:r>
        <w:rPr>
          <w:rFonts w:asciiTheme="minorHAnsi" w:hAnsiTheme="minorHAnsi"/>
          <w:sz w:val="24"/>
        </w:rPr>
        <w:t>u</w:t>
      </w:r>
      <w:r w:rsidRPr="00282BFE">
        <w:rPr>
          <w:rFonts w:asciiTheme="minorHAnsi" w:hAnsiTheme="minorHAnsi"/>
          <w:sz w:val="24"/>
        </w:rPr>
        <w:t xml:space="preserve">ndergraduate or graduate students, depending upon the family member’s or domestic partner’s degree status. All applicable credits will be charged at the relevant resident tuition rate. </w:t>
      </w:r>
    </w:p>
    <w:p w14:paraId="55CFCA85"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Pr>
          <w:rFonts w:asciiTheme="minorHAnsi" w:hAnsiTheme="minorHAnsi"/>
          <w:sz w:val="24"/>
        </w:rPr>
        <w:t xml:space="preserve">The </w:t>
      </w:r>
      <w:r w:rsidRPr="00282BFE">
        <w:rPr>
          <w:rFonts w:asciiTheme="minorHAnsi" w:hAnsiTheme="minorHAnsi"/>
          <w:sz w:val="24"/>
        </w:rPr>
        <w:t xml:space="preserve">President of </w:t>
      </w:r>
      <w:r>
        <w:rPr>
          <w:rFonts w:asciiTheme="minorHAnsi" w:hAnsiTheme="minorHAnsi"/>
          <w:sz w:val="24"/>
        </w:rPr>
        <w:t>a public</w:t>
      </w:r>
      <w:r w:rsidRPr="00282BFE">
        <w:rPr>
          <w:rFonts w:asciiTheme="minorHAnsi" w:hAnsiTheme="minorHAnsi"/>
          <w:sz w:val="24"/>
        </w:rPr>
        <w:t xml:space="preserve"> </w:t>
      </w:r>
      <w:r>
        <w:rPr>
          <w:rFonts w:asciiTheme="minorHAnsi" w:hAnsiTheme="minorHAnsi"/>
          <w:sz w:val="24"/>
        </w:rPr>
        <w:t>u</w:t>
      </w:r>
      <w:r w:rsidRPr="00282BFE">
        <w:rPr>
          <w:rFonts w:asciiTheme="minorHAnsi" w:hAnsiTheme="minorHAnsi"/>
          <w:sz w:val="24"/>
        </w:rPr>
        <w:t xml:space="preserve">niversity may exclude certain programs from the policy. For a comprehensive list of excluded programs please visit the </w:t>
      </w:r>
      <w:r>
        <w:rPr>
          <w:rFonts w:asciiTheme="minorHAnsi" w:hAnsiTheme="minorHAnsi"/>
          <w:sz w:val="24"/>
        </w:rPr>
        <w:t>Oregon Tech</w:t>
      </w:r>
      <w:r w:rsidRPr="00282BFE">
        <w:rPr>
          <w:rFonts w:asciiTheme="minorHAnsi" w:hAnsiTheme="minorHAnsi"/>
          <w:sz w:val="24"/>
        </w:rPr>
        <w:t xml:space="preserve"> website listed above.</w:t>
      </w:r>
    </w:p>
    <w:p w14:paraId="1F992271"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 xml:space="preserve">The transfer of staff fee benefits is not available for retired employees. </w:t>
      </w:r>
    </w:p>
    <w:p w14:paraId="50CAFF86"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 xml:space="preserve">Qualified family members or domestic partners of employees who use the staff fee for courses away from the employee’s employing institution are subject to staff fee policies and procedures of the instructing institution. </w:t>
      </w:r>
      <w:r w:rsidRPr="00282BFE">
        <w:rPr>
          <w:rFonts w:asciiTheme="minorHAnsi" w:hAnsiTheme="minorHAnsi"/>
          <w:i/>
          <w:sz w:val="24"/>
        </w:rPr>
        <w:t>There is no fee plateau at any campus for employees, retired staff, domestic partners, or eligible dependents.</w:t>
      </w:r>
    </w:p>
    <w:p w14:paraId="16B9938B"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Qualified family members or domestic partners of employees may be permitted to take noncredit courses at approximately one-third of the fee assessed to other registrants. Teaching units are not required to extend staff fees for noncredit courses, self-sustaining workshops, or self-supported credit courses.</w:t>
      </w:r>
    </w:p>
    <w:p w14:paraId="685E097F" w14:textId="77777777" w:rsidR="00EB06D9" w:rsidRPr="00282BFE" w:rsidRDefault="00EB06D9" w:rsidP="00EB06D9">
      <w:pPr>
        <w:numPr>
          <w:ilvl w:val="0"/>
          <w:numId w:val="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 xml:space="preserve">Eligibility of employees on furlough or lay-off status is subject to applicable collective bargaining agreements. </w:t>
      </w:r>
    </w:p>
    <w:p w14:paraId="7A9F2A58" w14:textId="77777777" w:rsidR="00EB06D9" w:rsidRPr="00282BFE" w:rsidRDefault="00EB06D9" w:rsidP="00EB06D9">
      <w:pPr>
        <w:numPr>
          <w:ilvl w:val="0"/>
          <w:numId w:val="16"/>
        </w:numPr>
        <w:tabs>
          <w:tab w:val="clear" w:pos="885"/>
        </w:tabs>
        <w:spacing w:before="120" w:after="120"/>
        <w:ind w:left="720" w:right="14"/>
        <w:jc w:val="both"/>
        <w:rPr>
          <w:rFonts w:asciiTheme="minorHAnsi" w:hAnsiTheme="minorHAnsi"/>
          <w:sz w:val="24"/>
        </w:rPr>
      </w:pPr>
      <w:r w:rsidRPr="00282BFE">
        <w:rPr>
          <w:rFonts w:asciiTheme="minorHAnsi" w:hAnsiTheme="minorHAnsi"/>
          <w:sz w:val="24"/>
        </w:rPr>
        <w:t>No tuition shall be assessed to courses enrolled in by employees w</w:t>
      </w:r>
      <w:r>
        <w:rPr>
          <w:rFonts w:asciiTheme="minorHAnsi" w:hAnsiTheme="minorHAnsi"/>
          <w:sz w:val="24"/>
        </w:rPr>
        <w:t>ith a grading option of ‘audit.’</w:t>
      </w:r>
      <w:r w:rsidRPr="00282BFE">
        <w:rPr>
          <w:rFonts w:asciiTheme="minorHAnsi" w:hAnsiTheme="minorHAnsi"/>
          <w:sz w:val="24"/>
        </w:rPr>
        <w:t xml:space="preserve"> Attendance under such condition must be with the instructor’s consent and on a space-available basis. Institutions are required to maintain a record of the courses audited. Courses approved for audit by the instructor confer no credit to the student, are not charged staff fee rates or regular tuition, and may be used in addition to staff fee privileges during a term. Any applicable course, lab or material fees associated with auditing for-credit classes will be assessed by the institution and is the responsibility of the family member. This provision cannot be subdivided in conjunction with the Employee Family Member and Domestic Partner Transfer provisions. </w:t>
      </w:r>
    </w:p>
    <w:p w14:paraId="472870AC" w14:textId="77777777" w:rsidR="00EB06D9" w:rsidRPr="00282BFE" w:rsidRDefault="00EB06D9" w:rsidP="00EB06D9">
      <w:pPr>
        <w:numPr>
          <w:ilvl w:val="0"/>
          <w:numId w:val="17"/>
        </w:numPr>
        <w:tabs>
          <w:tab w:val="clear" w:pos="900"/>
        </w:tabs>
        <w:spacing w:before="120" w:after="120"/>
        <w:ind w:left="720" w:right="14"/>
        <w:jc w:val="both"/>
        <w:rPr>
          <w:rFonts w:asciiTheme="minorHAnsi" w:hAnsiTheme="minorHAnsi"/>
          <w:sz w:val="24"/>
        </w:rPr>
      </w:pPr>
      <w:r w:rsidRPr="00282BFE">
        <w:rPr>
          <w:rFonts w:asciiTheme="minorHAnsi" w:hAnsiTheme="minorHAnsi"/>
          <w:sz w:val="24"/>
        </w:rPr>
        <w:t xml:space="preserve">The benefit may be utilized at any </w:t>
      </w:r>
      <w:r>
        <w:rPr>
          <w:rFonts w:asciiTheme="minorHAnsi" w:hAnsiTheme="minorHAnsi"/>
          <w:sz w:val="24"/>
        </w:rPr>
        <w:t>public university in Oregon</w:t>
      </w:r>
      <w:r w:rsidRPr="00282BFE">
        <w:rPr>
          <w:rFonts w:asciiTheme="minorHAnsi" w:hAnsiTheme="minorHAnsi"/>
          <w:sz w:val="24"/>
        </w:rPr>
        <w:t xml:space="preserve">, however; please note the </w:t>
      </w:r>
      <w:r w:rsidRPr="00282BFE">
        <w:rPr>
          <w:rFonts w:asciiTheme="minorHAnsi" w:hAnsiTheme="minorHAnsi"/>
          <w:i/>
          <w:sz w:val="24"/>
        </w:rPr>
        <w:t>Concurrent Enrollment policy was eliminated January 1, 2004</w:t>
      </w:r>
      <w:r w:rsidRPr="00282BFE">
        <w:rPr>
          <w:rFonts w:asciiTheme="minorHAnsi" w:hAnsiTheme="minorHAnsi"/>
          <w:sz w:val="24"/>
        </w:rPr>
        <w:t>.</w:t>
      </w:r>
    </w:p>
    <w:p w14:paraId="75775651" w14:textId="579A37F6" w:rsidR="00EB06D9" w:rsidRPr="00282BFE" w:rsidRDefault="00EB06D9" w:rsidP="00EB06D9">
      <w:pPr>
        <w:spacing w:before="120" w:after="120"/>
        <w:ind w:left="360" w:right="14"/>
        <w:rPr>
          <w:rFonts w:asciiTheme="minorHAnsi" w:hAnsiTheme="minorHAnsi"/>
          <w:i/>
          <w:sz w:val="24"/>
        </w:rPr>
      </w:pPr>
      <w:r w:rsidRPr="00282BFE">
        <w:rPr>
          <w:rFonts w:asciiTheme="minorHAnsi" w:hAnsiTheme="minorHAnsi"/>
          <w:i/>
          <w:sz w:val="24"/>
        </w:rPr>
        <w:t>Administrative Authority</w:t>
      </w:r>
      <w:r w:rsidR="000D2D52" w:rsidRPr="00282BFE">
        <w:rPr>
          <w:rFonts w:asciiTheme="minorHAnsi" w:hAnsiTheme="minorHAnsi"/>
          <w:i/>
          <w:sz w:val="24"/>
        </w:rPr>
        <w:t>:</w:t>
      </w:r>
      <w:r w:rsidR="000D2D52">
        <w:rPr>
          <w:rFonts w:asciiTheme="minorHAnsi" w:hAnsiTheme="minorHAnsi"/>
          <w:i/>
          <w:sz w:val="24"/>
        </w:rPr>
        <w:t xml:space="preserve"> University Policy </w:t>
      </w:r>
      <w:r w:rsidRPr="00282BFE">
        <w:rPr>
          <w:rFonts w:asciiTheme="minorHAnsi" w:hAnsiTheme="minorHAnsi"/>
          <w:i/>
          <w:sz w:val="24"/>
        </w:rPr>
        <w:t>Transfer of Staff Fee Privileges</w:t>
      </w:r>
    </w:p>
    <w:p w14:paraId="7E37477A" w14:textId="77777777" w:rsidR="00EB06D9" w:rsidRPr="00282BFE" w:rsidRDefault="00EB06D9" w:rsidP="00EB06D9">
      <w:pPr>
        <w:pStyle w:val="Heading4"/>
        <w:spacing w:after="120"/>
        <w:ind w:left="360"/>
        <w:jc w:val="left"/>
        <w:rPr>
          <w:rFonts w:asciiTheme="minorHAnsi" w:hAnsiTheme="minorHAnsi"/>
          <w:szCs w:val="24"/>
        </w:rPr>
      </w:pPr>
      <w:bookmarkStart w:id="54" w:name="_Toc421521582"/>
      <w:r w:rsidRPr="00282BFE">
        <w:rPr>
          <w:rFonts w:asciiTheme="minorHAnsi" w:hAnsiTheme="minorHAnsi"/>
          <w:szCs w:val="24"/>
        </w:rPr>
        <w:t>Graduate Assistants</w:t>
      </w:r>
      <w:bookmarkEnd w:id="54"/>
      <w:r w:rsidRPr="00282BFE">
        <w:rPr>
          <w:rFonts w:asciiTheme="minorHAnsi" w:hAnsiTheme="minorHAnsi"/>
          <w:szCs w:val="24"/>
        </w:rPr>
        <w:t xml:space="preserve"> </w:t>
      </w:r>
    </w:p>
    <w:p w14:paraId="29BDFC72" w14:textId="77777777" w:rsidR="00EB06D9" w:rsidRPr="00282BFE" w:rsidRDefault="00EB06D9" w:rsidP="00EB06D9">
      <w:pPr>
        <w:numPr>
          <w:ilvl w:val="12"/>
          <w:numId w:val="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360" w:right="14"/>
        <w:jc w:val="both"/>
        <w:rPr>
          <w:rFonts w:asciiTheme="minorHAnsi" w:hAnsiTheme="minorHAnsi"/>
          <w:sz w:val="24"/>
        </w:rPr>
      </w:pPr>
      <w:r w:rsidRPr="00282BFE">
        <w:rPr>
          <w:rFonts w:asciiTheme="minorHAnsi" w:hAnsiTheme="minorHAnsi"/>
          <w:sz w:val="24"/>
        </w:rPr>
        <w:t>Graduate students appointed by the institution and paid at established institutional salary rates as graduate teaching assistants, graduate research assistants, or graduate fellows are exempt from the payment of Tuition up to the first 16 credits per term subject to institutional policy. Appointment as an assistant may not be for less than .15 FTE for the term of appointment.</w:t>
      </w:r>
    </w:p>
    <w:p w14:paraId="788A7541"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The Tuition will be assessed to the employing account or department within the institution, not to exceed the graduate resident, full-time student Tuition per term. When an assistant is authorized to exceed 16</w:t>
      </w:r>
      <w:r>
        <w:rPr>
          <w:rFonts w:asciiTheme="minorHAnsi" w:hAnsiTheme="minorHAnsi"/>
          <w:sz w:val="24"/>
        </w:rPr>
        <w:t> </w:t>
      </w:r>
      <w:r w:rsidRPr="00282BFE">
        <w:rPr>
          <w:rFonts w:asciiTheme="minorHAnsi" w:hAnsiTheme="minorHAnsi"/>
          <w:sz w:val="24"/>
        </w:rPr>
        <w:t xml:space="preserve">credits per term, the institution shall charge the assistant the resident overload Tuition for the excess credits. The enrollment privilege does not apply to self-support courses. </w:t>
      </w:r>
    </w:p>
    <w:p w14:paraId="72C148A1"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 xml:space="preserve">If an assistant has been on an academic year appointment, serving in that appointment </w:t>
      </w:r>
      <w:r>
        <w:rPr>
          <w:rFonts w:asciiTheme="minorHAnsi" w:hAnsiTheme="minorHAnsi"/>
          <w:sz w:val="24"/>
        </w:rPr>
        <w:t>SPRING</w:t>
      </w:r>
      <w:r w:rsidRPr="00282BFE">
        <w:rPr>
          <w:rFonts w:asciiTheme="minorHAnsi" w:hAnsiTheme="minorHAnsi"/>
          <w:sz w:val="24"/>
        </w:rPr>
        <w:t xml:space="preserve"> term, and the institution intends to reappoint the assistant in the following WINTER &amp; SPRING TERMS, the assistant may exercise the study privilege during the interim summer term upon approval of the institution. </w:t>
      </w:r>
    </w:p>
    <w:p w14:paraId="7C0C38CD"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Graduate assistants are assessed and are individually responsible for payment of the Building, Health, Incidental, Recreation Center, Student Union</w:t>
      </w:r>
      <w:r>
        <w:rPr>
          <w:rFonts w:asciiTheme="minorHAnsi" w:hAnsiTheme="minorHAnsi"/>
          <w:sz w:val="24"/>
        </w:rPr>
        <w:t>,</w:t>
      </w:r>
      <w:r w:rsidRPr="00282BFE">
        <w:rPr>
          <w:rFonts w:asciiTheme="minorHAnsi" w:hAnsiTheme="minorHAnsi"/>
          <w:sz w:val="24"/>
        </w:rPr>
        <w:t xml:space="preserve"> and other mandatory fees as approved for the institution and </w:t>
      </w:r>
      <w:r w:rsidRPr="00282BFE">
        <w:rPr>
          <w:rFonts w:asciiTheme="minorHAnsi" w:hAnsiTheme="minorHAnsi"/>
          <w:sz w:val="24"/>
        </w:rPr>
        <w:lastRenderedPageBreak/>
        <w:t xml:space="preserve">program in which they are enrolled at the credit hour level carried, and at rates applicable to graduate students. Overload Tuition is assessed at the resident graduate student Tuition rate for each overload hour. </w:t>
      </w:r>
    </w:p>
    <w:p w14:paraId="7BEC1B76" w14:textId="7D3894EE" w:rsidR="00EB06D9" w:rsidRPr="00282BFE" w:rsidRDefault="00EB06D9" w:rsidP="00EB06D9">
      <w:pPr>
        <w:spacing w:before="120" w:after="120"/>
        <w:ind w:left="360" w:right="14"/>
        <w:rPr>
          <w:rFonts w:asciiTheme="minorHAnsi" w:hAnsiTheme="minorHAnsi"/>
          <w:i/>
          <w:sz w:val="24"/>
        </w:rPr>
      </w:pPr>
      <w:r w:rsidRPr="00282BFE">
        <w:rPr>
          <w:rFonts w:asciiTheme="minorHAnsi" w:hAnsiTheme="minorHAnsi"/>
          <w:i/>
          <w:sz w:val="24"/>
        </w:rPr>
        <w:t xml:space="preserve">Administrative Authority: </w:t>
      </w:r>
      <w:r w:rsidR="000D2D52">
        <w:rPr>
          <w:rFonts w:asciiTheme="minorHAnsi" w:hAnsiTheme="minorHAnsi"/>
          <w:i/>
          <w:sz w:val="24"/>
        </w:rPr>
        <w:t xml:space="preserve">University </w:t>
      </w:r>
      <w:r w:rsidR="00E125CF">
        <w:rPr>
          <w:rFonts w:asciiTheme="minorHAnsi" w:hAnsiTheme="minorHAnsi"/>
          <w:i/>
          <w:sz w:val="24"/>
        </w:rPr>
        <w:t xml:space="preserve">Policy </w:t>
      </w:r>
      <w:r w:rsidR="00E125CF" w:rsidRPr="00282BFE">
        <w:rPr>
          <w:rFonts w:asciiTheme="minorHAnsi" w:hAnsiTheme="minorHAnsi"/>
          <w:i/>
          <w:sz w:val="24"/>
        </w:rPr>
        <w:t>Staff</w:t>
      </w:r>
      <w:r w:rsidRPr="00282BFE">
        <w:rPr>
          <w:rFonts w:asciiTheme="minorHAnsi" w:hAnsiTheme="minorHAnsi"/>
          <w:i/>
          <w:sz w:val="24"/>
        </w:rPr>
        <w:t xml:space="preserve"> Fee Privileges</w:t>
      </w:r>
    </w:p>
    <w:p w14:paraId="2BE67BF9" w14:textId="77777777" w:rsidR="00EB06D9" w:rsidRPr="00282BFE" w:rsidRDefault="00EB06D9" w:rsidP="00EB06D9">
      <w:pPr>
        <w:pStyle w:val="Heading4"/>
        <w:spacing w:after="120"/>
        <w:ind w:left="360"/>
        <w:jc w:val="left"/>
        <w:rPr>
          <w:rFonts w:asciiTheme="minorHAnsi" w:hAnsiTheme="minorHAnsi"/>
          <w:szCs w:val="24"/>
        </w:rPr>
      </w:pPr>
      <w:bookmarkStart w:id="55" w:name="_Toc421521583"/>
      <w:r w:rsidRPr="00282BFE">
        <w:rPr>
          <w:rFonts w:asciiTheme="minorHAnsi" w:hAnsiTheme="minorHAnsi"/>
          <w:szCs w:val="24"/>
        </w:rPr>
        <w:t>Resident Oregon Senior Citizen Program</w:t>
      </w:r>
      <w:bookmarkEnd w:id="55"/>
    </w:p>
    <w:p w14:paraId="442ECDE8"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 xml:space="preserve">The Senior Citizen Program is designed for persons not seeking credit or working toward a degree. If credit is sought, charges for special materials or fees, if any, will be assessed according to applicable tuition schedules and records will be maintained. Self-support classes are excluded from this benefit and Incidental Fee services are not available. Oregon resident senior citizens, age 65 or older, may attend classes on a space-available basis. </w:t>
      </w:r>
    </w:p>
    <w:p w14:paraId="529E1DF0" w14:textId="0A7F9B9A" w:rsidR="00EB06D9" w:rsidRPr="00282BFE" w:rsidRDefault="00EB06D9" w:rsidP="00EB06D9">
      <w:pPr>
        <w:spacing w:before="120" w:after="120"/>
        <w:ind w:left="360" w:right="14"/>
        <w:rPr>
          <w:rFonts w:asciiTheme="minorHAnsi" w:hAnsiTheme="minorHAnsi"/>
          <w:i/>
          <w:sz w:val="24"/>
        </w:rPr>
      </w:pPr>
      <w:r w:rsidRPr="00282BFE">
        <w:rPr>
          <w:rFonts w:asciiTheme="minorHAnsi" w:hAnsiTheme="minorHAnsi"/>
          <w:i/>
          <w:sz w:val="24"/>
        </w:rPr>
        <w:t xml:space="preserve">Statutory Authority: ORS </w:t>
      </w:r>
      <w:r w:rsidR="000D2D52">
        <w:rPr>
          <w:rFonts w:asciiTheme="minorHAnsi" w:hAnsiTheme="minorHAnsi"/>
          <w:i/>
          <w:sz w:val="24"/>
        </w:rPr>
        <w:t>352.303</w:t>
      </w:r>
      <w:r w:rsidRPr="00282BFE">
        <w:rPr>
          <w:rFonts w:asciiTheme="minorHAnsi" w:hAnsiTheme="minorHAnsi"/>
          <w:i/>
          <w:sz w:val="24"/>
        </w:rPr>
        <w:t xml:space="preserve"> Waiver of tuition for Oregon residents at least 65; conditions for waiver; rules</w:t>
      </w:r>
    </w:p>
    <w:p w14:paraId="16EF662B" w14:textId="77777777" w:rsidR="00EB06D9" w:rsidRPr="00282BFE" w:rsidRDefault="00EB06D9" w:rsidP="00EB06D9">
      <w:pPr>
        <w:pStyle w:val="Heading4"/>
        <w:spacing w:after="120"/>
        <w:ind w:left="360"/>
        <w:jc w:val="left"/>
        <w:rPr>
          <w:rFonts w:asciiTheme="minorHAnsi" w:hAnsiTheme="minorHAnsi"/>
          <w:szCs w:val="24"/>
        </w:rPr>
      </w:pPr>
      <w:bookmarkStart w:id="56" w:name="_Toc421521584"/>
      <w:r w:rsidRPr="00282BFE">
        <w:rPr>
          <w:rFonts w:asciiTheme="minorHAnsi" w:hAnsiTheme="minorHAnsi"/>
          <w:szCs w:val="24"/>
        </w:rPr>
        <w:t>Auditors</w:t>
      </w:r>
      <w:bookmarkEnd w:id="56"/>
    </w:p>
    <w:p w14:paraId="792F3B43" w14:textId="77777777" w:rsidR="00EB06D9" w:rsidRPr="00282BFE" w:rsidRDefault="00EB06D9" w:rsidP="00EB06D9">
      <w:pPr>
        <w:numPr>
          <w:ilvl w:val="12"/>
          <w:numId w:val="0"/>
        </w:numPr>
        <w:spacing w:before="120" w:after="120"/>
        <w:ind w:left="360" w:right="14"/>
        <w:jc w:val="both"/>
        <w:rPr>
          <w:rFonts w:asciiTheme="minorHAnsi" w:hAnsiTheme="minorHAnsi"/>
          <w:sz w:val="24"/>
        </w:rPr>
      </w:pPr>
      <w:r w:rsidRPr="00282BFE">
        <w:rPr>
          <w:rFonts w:asciiTheme="minorHAnsi" w:hAnsiTheme="minorHAnsi"/>
          <w:sz w:val="24"/>
        </w:rPr>
        <w:t>Students enrolled in a combination of credit and audit courses or audit only will be assessed for the total credits under the credit tuition and fee schedule appropriate to their classification and residency.</w:t>
      </w:r>
    </w:p>
    <w:p w14:paraId="240169A9" w14:textId="77777777" w:rsidR="00EB06D9" w:rsidRPr="00282BFE" w:rsidRDefault="00EB06D9" w:rsidP="00EB06D9">
      <w:pPr>
        <w:spacing w:before="120" w:after="120" w:line="2" w:lineRule="exact"/>
        <w:ind w:left="360" w:right="14"/>
        <w:rPr>
          <w:rFonts w:asciiTheme="minorHAnsi" w:hAnsiTheme="minorHAnsi"/>
          <w:sz w:val="24"/>
        </w:rPr>
      </w:pPr>
    </w:p>
    <w:p w14:paraId="653F36A8" w14:textId="77777777" w:rsidR="00EB06D9" w:rsidRPr="00282BFE" w:rsidRDefault="00EB06D9" w:rsidP="00EB06D9">
      <w:pPr>
        <w:pStyle w:val="Level1"/>
        <w:numPr>
          <w:ilvl w:val="0"/>
          <w:numId w:val="9"/>
        </w:numPr>
        <w:tabs>
          <w:tab w:val="clear" w:pos="720"/>
          <w:tab w:val="left" w:pos="-1080"/>
          <w:tab w:val="left" w:pos="-720"/>
        </w:tabs>
        <w:spacing w:before="120" w:after="120"/>
        <w:ind w:right="14"/>
        <w:jc w:val="both"/>
        <w:rPr>
          <w:rFonts w:asciiTheme="minorHAnsi" w:hAnsiTheme="minorHAnsi" w:cs="Arial"/>
          <w:b/>
          <w:bCs/>
          <w:sz w:val="24"/>
        </w:rPr>
      </w:pPr>
      <w:r w:rsidRPr="00282BFE">
        <w:rPr>
          <w:rFonts w:asciiTheme="minorHAnsi" w:hAnsiTheme="minorHAnsi" w:cs="Arial"/>
          <w:sz w:val="24"/>
        </w:rPr>
        <w:t xml:space="preserve">Earned co-pay privileges must be used by a licensed educator professional employed by the school district within five successive academic quarters (including summer session) following the quarter in which the supervision is provided, after which time the co-pay privilege is void. </w:t>
      </w:r>
    </w:p>
    <w:p w14:paraId="4520C910" w14:textId="77777777" w:rsidR="00EB06D9" w:rsidRPr="00282BFE" w:rsidRDefault="00EB06D9" w:rsidP="00EB06D9">
      <w:pPr>
        <w:pStyle w:val="Level1"/>
        <w:numPr>
          <w:ilvl w:val="0"/>
          <w:numId w:val="9"/>
        </w:numPr>
        <w:tabs>
          <w:tab w:val="clear" w:pos="720"/>
          <w:tab w:val="left" w:pos="-1080"/>
          <w:tab w:val="left" w:pos="-720"/>
        </w:tabs>
        <w:spacing w:before="120" w:after="120"/>
        <w:ind w:right="14"/>
        <w:jc w:val="both"/>
        <w:rPr>
          <w:rFonts w:asciiTheme="minorHAnsi" w:hAnsiTheme="minorHAnsi" w:cs="Arial"/>
          <w:b/>
          <w:bCs/>
          <w:sz w:val="24"/>
        </w:rPr>
      </w:pPr>
      <w:r w:rsidRPr="00282BFE">
        <w:rPr>
          <w:rFonts w:asciiTheme="minorHAnsi" w:hAnsiTheme="minorHAnsi" w:cs="Arial"/>
          <w:sz w:val="24"/>
        </w:rPr>
        <w:t xml:space="preserve">The co-pay fee is applicable only up to 8 credit hours in any academic quarter for any one licensed educator professional, including summer session, even though the district may have earned two or more enrollment privileges, or if the licensed educator professional using the privilege enrolls for fewer than 8 credits. </w:t>
      </w:r>
    </w:p>
    <w:p w14:paraId="15CE3239" w14:textId="77777777" w:rsidR="00EB06D9" w:rsidRPr="00282BFE" w:rsidRDefault="00EB06D9" w:rsidP="00EB06D9">
      <w:pPr>
        <w:pStyle w:val="Level1"/>
        <w:tabs>
          <w:tab w:val="left" w:pos="-1080"/>
          <w:tab w:val="left" w:pos="-720"/>
        </w:tabs>
        <w:spacing w:before="120" w:after="120"/>
        <w:ind w:right="14"/>
        <w:jc w:val="both"/>
        <w:rPr>
          <w:rFonts w:asciiTheme="minorHAnsi" w:hAnsiTheme="minorHAnsi" w:cs="Arial"/>
          <w:b/>
          <w:bCs/>
          <w:sz w:val="24"/>
        </w:rPr>
      </w:pPr>
      <w:r w:rsidRPr="00282BFE">
        <w:rPr>
          <w:rFonts w:asciiTheme="minorHAnsi" w:hAnsiTheme="minorHAnsi" w:cs="Arial"/>
          <w:sz w:val="24"/>
        </w:rPr>
        <w:t>Unused portions of an enrollment privilege may not be carried to another term or used by another teacher.</w:t>
      </w:r>
    </w:p>
    <w:p w14:paraId="22696C28" w14:textId="77777777" w:rsidR="00EB06D9" w:rsidRPr="00282BFE" w:rsidRDefault="00EB06D9" w:rsidP="00EB06D9">
      <w:pPr>
        <w:pStyle w:val="Level1"/>
        <w:numPr>
          <w:ilvl w:val="0"/>
          <w:numId w:val="9"/>
        </w:numPr>
        <w:tabs>
          <w:tab w:val="clear" w:pos="720"/>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 xml:space="preserve">A co-pay privilege may be used during any academic term (including summer session) at the issuing institution, which has a teacher preparation program. Institutions may enter into “partnerships of trade” with any sister institution if they are willing to accept vouchers from other institutions. </w:t>
      </w:r>
    </w:p>
    <w:p w14:paraId="4166FDE4" w14:textId="77777777" w:rsidR="00EB06D9" w:rsidRPr="00282BFE" w:rsidRDefault="00EB06D9" w:rsidP="00EB06D9">
      <w:pPr>
        <w:pStyle w:val="Level1"/>
        <w:numPr>
          <w:ilvl w:val="0"/>
          <w:numId w:val="9"/>
        </w:numPr>
        <w:tabs>
          <w:tab w:val="clear" w:pos="720"/>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Each institution may set limits on courses available for those redeeming vouchers/co-pays (for example, courses in summer session, distance education, continuing licensure, continuing/extended education).</w:t>
      </w:r>
      <w:r>
        <w:rPr>
          <w:rFonts w:asciiTheme="minorHAnsi" w:hAnsiTheme="minorHAnsi" w:cs="Arial"/>
          <w:sz w:val="24"/>
        </w:rPr>
        <w:t xml:space="preserve"> </w:t>
      </w:r>
      <w:r w:rsidRPr="00282BFE">
        <w:rPr>
          <w:rFonts w:asciiTheme="minorHAnsi" w:hAnsiTheme="minorHAnsi" w:cs="Arial"/>
          <w:sz w:val="24"/>
        </w:rPr>
        <w:t xml:space="preserve"> Each institution will indicate on the voucher the existence of restrictions.</w:t>
      </w:r>
    </w:p>
    <w:p w14:paraId="2726F8FC" w14:textId="77777777" w:rsidR="00EB06D9" w:rsidRPr="00282BFE" w:rsidRDefault="00EB06D9" w:rsidP="00EB06D9">
      <w:pPr>
        <w:pStyle w:val="Level1"/>
        <w:numPr>
          <w:ilvl w:val="0"/>
          <w:numId w:val="9"/>
        </w:numPr>
        <w:tabs>
          <w:tab w:val="clear" w:pos="720"/>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The co-pay privilege may also be redeemed by an administrator, counselor, or other licensed educator professional in a cooperating district.</w:t>
      </w:r>
    </w:p>
    <w:p w14:paraId="1D2A9744" w14:textId="77777777" w:rsidR="00EB06D9" w:rsidRPr="00282BFE" w:rsidRDefault="00EB06D9" w:rsidP="00EB06D9">
      <w:pPr>
        <w:pStyle w:val="Level1"/>
        <w:numPr>
          <w:ilvl w:val="0"/>
          <w:numId w:val="9"/>
        </w:numPr>
        <w:tabs>
          <w:tab w:val="clear" w:pos="720"/>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Institutions with current contractual obligations may elect to defer compliance of the rate until the expir</w:t>
      </w:r>
      <w:r>
        <w:rPr>
          <w:rFonts w:asciiTheme="minorHAnsi" w:hAnsiTheme="minorHAnsi" w:cs="Arial"/>
          <w:sz w:val="24"/>
        </w:rPr>
        <w:t>ation of the existing contract.</w:t>
      </w:r>
    </w:p>
    <w:p w14:paraId="05F9DCA1" w14:textId="77777777" w:rsidR="00EB06D9" w:rsidRPr="00282BFE" w:rsidRDefault="00EB06D9" w:rsidP="00EB06D9">
      <w:pPr>
        <w:pStyle w:val="Heading4"/>
        <w:ind w:left="360"/>
        <w:jc w:val="left"/>
        <w:rPr>
          <w:rFonts w:asciiTheme="minorHAnsi" w:hAnsiTheme="minorHAnsi"/>
          <w:szCs w:val="24"/>
        </w:rPr>
      </w:pPr>
      <w:bookmarkStart w:id="57" w:name="_Toc421521586"/>
      <w:r w:rsidRPr="00282BFE">
        <w:rPr>
          <w:rFonts w:asciiTheme="minorHAnsi" w:hAnsiTheme="minorHAnsi"/>
          <w:szCs w:val="24"/>
        </w:rPr>
        <w:t>Other Remission Programs</w:t>
      </w:r>
      <w:bookmarkEnd w:id="57"/>
    </w:p>
    <w:p w14:paraId="5D91C68E" w14:textId="3876C955" w:rsidR="00EB06D9" w:rsidRPr="00282BFE" w:rsidRDefault="00EB06D9" w:rsidP="00EB06D9">
      <w:pPr>
        <w:numPr>
          <w:ilvl w:val="12"/>
          <w:numId w:val="0"/>
        </w:numPr>
        <w:spacing w:before="120" w:after="120"/>
        <w:ind w:left="360" w:right="14"/>
        <w:jc w:val="both"/>
        <w:rPr>
          <w:rFonts w:asciiTheme="minorHAnsi" w:hAnsiTheme="minorHAnsi"/>
          <w:sz w:val="24"/>
        </w:rPr>
      </w:pPr>
      <w:r>
        <w:rPr>
          <w:rFonts w:asciiTheme="minorHAnsi" w:hAnsiTheme="minorHAnsi"/>
          <w:sz w:val="24"/>
        </w:rPr>
        <w:t>Oregon Tech</w:t>
      </w:r>
      <w:r w:rsidRPr="00282BFE">
        <w:rPr>
          <w:rFonts w:asciiTheme="minorHAnsi" w:hAnsiTheme="minorHAnsi"/>
          <w:sz w:val="24"/>
        </w:rPr>
        <w:t xml:space="preserve"> may create individual fee remission programs to address enrollment management and financial aid program needs. The institution will report to the Board on the creation of each program following </w:t>
      </w:r>
      <w:r w:rsidR="000405A1">
        <w:rPr>
          <w:rFonts w:asciiTheme="minorHAnsi" w:hAnsiTheme="minorHAnsi"/>
          <w:sz w:val="24"/>
        </w:rPr>
        <w:t>the 12</w:t>
      </w:r>
      <w:r w:rsidR="00E125CF">
        <w:rPr>
          <w:rFonts w:asciiTheme="minorHAnsi" w:hAnsiTheme="minorHAnsi"/>
          <w:sz w:val="24"/>
        </w:rPr>
        <w:t>% average</w:t>
      </w:r>
      <w:r w:rsidR="000405A1">
        <w:rPr>
          <w:rFonts w:asciiTheme="minorHAnsi" w:hAnsiTheme="minorHAnsi"/>
          <w:sz w:val="24"/>
        </w:rPr>
        <w:t xml:space="preserve"> fee remission per year.</w:t>
      </w:r>
      <w:r w:rsidRPr="00282BFE">
        <w:rPr>
          <w:rFonts w:asciiTheme="minorHAnsi" w:hAnsiTheme="minorHAnsi"/>
          <w:sz w:val="24"/>
        </w:rPr>
        <w:t xml:space="preserve"> </w:t>
      </w:r>
    </w:p>
    <w:p w14:paraId="3C7B2D06" w14:textId="77777777" w:rsidR="00EB06D9" w:rsidRPr="00282BFE" w:rsidRDefault="00EB06D9" w:rsidP="00EB06D9">
      <w:pPr>
        <w:tabs>
          <w:tab w:val="left" w:pos="1080"/>
        </w:tabs>
        <w:spacing w:before="120" w:after="120"/>
        <w:ind w:left="360" w:right="14"/>
        <w:rPr>
          <w:rFonts w:asciiTheme="minorHAnsi" w:hAnsiTheme="minorHAnsi"/>
          <w:sz w:val="24"/>
        </w:rPr>
      </w:pPr>
      <w:r w:rsidRPr="00282BFE">
        <w:rPr>
          <w:rFonts w:asciiTheme="minorHAnsi" w:hAnsiTheme="minorHAnsi"/>
          <w:i/>
          <w:iCs/>
          <w:sz w:val="24"/>
        </w:rPr>
        <w:t>Awards:</w:t>
      </w:r>
      <w:r w:rsidRPr="00282BFE">
        <w:rPr>
          <w:rFonts w:asciiTheme="minorHAnsi" w:hAnsiTheme="minorHAnsi"/>
          <w:sz w:val="24"/>
        </w:rPr>
        <w:t xml:space="preserve"> Awards may vary in amount but cannot exceed the total nonresident </w:t>
      </w:r>
      <w:r>
        <w:rPr>
          <w:rFonts w:asciiTheme="minorHAnsi" w:hAnsiTheme="minorHAnsi"/>
          <w:sz w:val="24"/>
        </w:rPr>
        <w:t>undergraduate</w:t>
      </w:r>
      <w:r w:rsidRPr="00282BFE">
        <w:rPr>
          <w:rFonts w:asciiTheme="minorHAnsi" w:hAnsiTheme="minorHAnsi"/>
          <w:sz w:val="24"/>
        </w:rPr>
        <w:t xml:space="preserve"> or graduate Enrollment Fees (Tuition, Building, Incidental, and Health Service Fees).</w:t>
      </w:r>
    </w:p>
    <w:p w14:paraId="5C7B072F" w14:textId="77777777" w:rsidR="00EB06D9" w:rsidRPr="00282BFE" w:rsidRDefault="00EB06D9" w:rsidP="00EB06D9">
      <w:pPr>
        <w:pStyle w:val="Heading2"/>
        <w:spacing w:before="240" w:after="120"/>
        <w:jc w:val="center"/>
        <w:rPr>
          <w:lang w:val="en-US"/>
        </w:rPr>
      </w:pPr>
      <w:bookmarkStart w:id="58" w:name="Refunds_Waivers_etc"/>
      <w:bookmarkStart w:id="59" w:name="_Toc322438381"/>
      <w:bookmarkStart w:id="60" w:name="_Toc322440168"/>
      <w:bookmarkStart w:id="61" w:name="_Toc322440251"/>
      <w:bookmarkStart w:id="62" w:name="_Toc421521587"/>
      <w:bookmarkStart w:id="63" w:name="_Toc291078510"/>
      <w:bookmarkStart w:id="64" w:name="_Toc291078950"/>
      <w:bookmarkStart w:id="65" w:name="_Toc291079498"/>
      <w:bookmarkEnd w:id="58"/>
      <w:r w:rsidRPr="00282BFE">
        <w:lastRenderedPageBreak/>
        <w:t xml:space="preserve">Fee Policies </w:t>
      </w:r>
      <w:r>
        <w:rPr>
          <w:lang w:val="en-US"/>
        </w:rPr>
        <w:t>Specific</w:t>
      </w:r>
      <w:r w:rsidRPr="00282BFE">
        <w:t xml:space="preserve"> to Summer</w:t>
      </w:r>
      <w:r w:rsidRPr="00282BFE">
        <w:rPr>
          <w:lang w:val="en-US"/>
        </w:rPr>
        <w:t xml:space="preserve"> </w:t>
      </w:r>
      <w:bookmarkEnd w:id="59"/>
      <w:bookmarkEnd w:id="60"/>
      <w:bookmarkEnd w:id="61"/>
      <w:r>
        <w:rPr>
          <w:lang w:val="en-US"/>
        </w:rPr>
        <w:t>Session</w:t>
      </w:r>
      <w:bookmarkEnd w:id="62"/>
    </w:p>
    <w:p w14:paraId="76CF8544" w14:textId="77777777" w:rsidR="00EB06D9" w:rsidRPr="00282BFE" w:rsidRDefault="00EB06D9" w:rsidP="00EB06D9">
      <w:pPr>
        <w:pStyle w:val="ListParagraph"/>
        <w:widowControl w:val="0"/>
        <w:numPr>
          <w:ilvl w:val="1"/>
          <w:numId w:val="20"/>
        </w:numPr>
        <w:tabs>
          <w:tab w:val="left" w:pos="-1080"/>
          <w:tab w:val="left" w:pos="-720"/>
        </w:tabs>
        <w:spacing w:before="120" w:after="120"/>
        <w:ind w:left="720" w:right="14"/>
        <w:jc w:val="both"/>
        <w:rPr>
          <w:rFonts w:asciiTheme="minorHAnsi" w:hAnsiTheme="minorHAnsi"/>
          <w:sz w:val="24"/>
        </w:rPr>
      </w:pPr>
      <w:r w:rsidRPr="00282BFE">
        <w:rPr>
          <w:rFonts w:asciiTheme="minorHAnsi" w:hAnsiTheme="minorHAnsi"/>
          <w:sz w:val="24"/>
        </w:rPr>
        <w:t xml:space="preserve">Tuition rates may be assessed based on </w:t>
      </w:r>
      <w:r>
        <w:rPr>
          <w:rFonts w:asciiTheme="minorHAnsi" w:hAnsiTheme="minorHAnsi"/>
          <w:sz w:val="24"/>
        </w:rPr>
        <w:t>u</w:t>
      </w:r>
      <w:r w:rsidRPr="00282BFE">
        <w:rPr>
          <w:rFonts w:asciiTheme="minorHAnsi" w:hAnsiTheme="minorHAnsi"/>
          <w:sz w:val="24"/>
        </w:rPr>
        <w:t>ndergraduate and graduate course designation or student classification.</w:t>
      </w:r>
    </w:p>
    <w:p w14:paraId="123870D3" w14:textId="77777777" w:rsidR="00EB06D9" w:rsidRPr="00282BFE" w:rsidRDefault="00EB06D9" w:rsidP="00EB06D9">
      <w:pPr>
        <w:pStyle w:val="Level1"/>
        <w:numPr>
          <w:ilvl w:val="1"/>
          <w:numId w:val="20"/>
        </w:numPr>
        <w:tabs>
          <w:tab w:val="left" w:pos="-1080"/>
          <w:tab w:val="left" w:pos="-720"/>
        </w:tabs>
        <w:spacing w:before="120" w:after="120"/>
        <w:ind w:left="720" w:right="14"/>
        <w:jc w:val="both"/>
        <w:rPr>
          <w:rFonts w:asciiTheme="minorHAnsi" w:hAnsiTheme="minorHAnsi" w:cs="Arial"/>
          <w:sz w:val="24"/>
        </w:rPr>
      </w:pPr>
      <w:r w:rsidRPr="00282BFE">
        <w:rPr>
          <w:rFonts w:asciiTheme="minorHAnsi" w:hAnsiTheme="minorHAnsi" w:cs="Arial"/>
          <w:sz w:val="24"/>
        </w:rPr>
        <w:t>Course level designations are generally defined as follows:</w:t>
      </w:r>
    </w:p>
    <w:p w14:paraId="1A4D1084" w14:textId="77777777" w:rsidR="00EB06D9" w:rsidRPr="00282BFE" w:rsidRDefault="00EB06D9" w:rsidP="00EB06D9">
      <w:pPr>
        <w:pStyle w:val="Level1"/>
        <w:numPr>
          <w:ilvl w:val="0"/>
          <w:numId w:val="30"/>
        </w:numPr>
        <w:tabs>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 xml:space="preserve">Course numbers assigned 499 and below are assigned </w:t>
      </w:r>
      <w:r>
        <w:rPr>
          <w:rFonts w:asciiTheme="minorHAnsi" w:hAnsiTheme="minorHAnsi" w:cs="Arial"/>
          <w:sz w:val="24"/>
        </w:rPr>
        <w:t>u</w:t>
      </w:r>
      <w:r w:rsidRPr="00282BFE">
        <w:rPr>
          <w:rFonts w:asciiTheme="minorHAnsi" w:hAnsiTheme="minorHAnsi" w:cs="Arial"/>
          <w:sz w:val="24"/>
        </w:rPr>
        <w:t>ndergraduate fee rates.</w:t>
      </w:r>
    </w:p>
    <w:p w14:paraId="197F64D5" w14:textId="77777777" w:rsidR="00EB06D9" w:rsidRPr="00282BFE" w:rsidRDefault="00EB06D9" w:rsidP="00EB06D9">
      <w:pPr>
        <w:pStyle w:val="Level1"/>
        <w:numPr>
          <w:ilvl w:val="0"/>
          <w:numId w:val="30"/>
        </w:numPr>
        <w:tabs>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Course numbers assigned 500 and higher are assigned graduate fee rates.</w:t>
      </w:r>
    </w:p>
    <w:p w14:paraId="474C00CB" w14:textId="77777777" w:rsidR="00EB06D9" w:rsidRPr="00282BFE" w:rsidRDefault="00EB06D9" w:rsidP="00EB06D9">
      <w:pPr>
        <w:pStyle w:val="ListParagraph"/>
        <w:widowControl w:val="0"/>
        <w:numPr>
          <w:ilvl w:val="1"/>
          <w:numId w:val="20"/>
        </w:numPr>
        <w:tabs>
          <w:tab w:val="left" w:pos="-1080"/>
          <w:tab w:val="left" w:pos="-720"/>
        </w:tabs>
        <w:spacing w:before="120" w:after="120"/>
        <w:ind w:left="720" w:right="14"/>
        <w:jc w:val="both"/>
        <w:rPr>
          <w:rFonts w:asciiTheme="minorHAnsi" w:hAnsiTheme="minorHAnsi"/>
          <w:sz w:val="24"/>
        </w:rPr>
      </w:pPr>
      <w:r w:rsidRPr="00282BFE">
        <w:rPr>
          <w:rFonts w:asciiTheme="minorHAnsi" w:hAnsiTheme="minorHAnsi"/>
          <w:sz w:val="24"/>
        </w:rPr>
        <w:t xml:space="preserve">Tuition may be assessed on a per-credit hour basis or aligned to the preceding academic year structure. </w:t>
      </w:r>
    </w:p>
    <w:p w14:paraId="49C7352D" w14:textId="77777777" w:rsidR="00EB06D9" w:rsidRPr="00282BFE" w:rsidRDefault="00EB06D9" w:rsidP="00EB06D9">
      <w:pPr>
        <w:pStyle w:val="ListParagraph"/>
        <w:widowControl w:val="0"/>
        <w:numPr>
          <w:ilvl w:val="0"/>
          <w:numId w:val="31"/>
        </w:numPr>
        <w:tabs>
          <w:tab w:val="left" w:pos="-1080"/>
          <w:tab w:val="left" w:pos="-720"/>
        </w:tabs>
        <w:spacing w:before="120" w:after="120"/>
        <w:ind w:right="14"/>
        <w:jc w:val="both"/>
        <w:rPr>
          <w:rFonts w:asciiTheme="minorHAnsi" w:hAnsiTheme="minorHAnsi"/>
          <w:sz w:val="24"/>
        </w:rPr>
      </w:pPr>
      <w:r w:rsidRPr="00282BFE">
        <w:rPr>
          <w:rFonts w:asciiTheme="minorHAnsi" w:hAnsiTheme="minorHAnsi"/>
          <w:sz w:val="24"/>
        </w:rPr>
        <w:t>Staff, qualifying family/dependents, and graduate assistant fee privileges may be authorized during the Summer Session at the option of the institution. If authorized, fees and study privileges shall conform to policies set forth in this Fee Book. Staff members or qualifying family/dependents who seek to use the staff fee privilege for courses away from their home institution are subject to corresponding fee policies of the instructing institution.</w:t>
      </w:r>
    </w:p>
    <w:p w14:paraId="7A4FD97C" w14:textId="23A6C174" w:rsidR="00EB06D9" w:rsidRPr="00711055" w:rsidRDefault="00EB06D9" w:rsidP="00EB06D9">
      <w:pPr>
        <w:pStyle w:val="ListParagraph"/>
        <w:widowControl w:val="0"/>
        <w:numPr>
          <w:ilvl w:val="0"/>
          <w:numId w:val="31"/>
        </w:numPr>
        <w:tabs>
          <w:tab w:val="left" w:pos="-1080"/>
          <w:tab w:val="left" w:pos="-720"/>
        </w:tabs>
        <w:spacing w:before="120" w:after="120"/>
        <w:ind w:right="14"/>
        <w:jc w:val="both"/>
        <w:rPr>
          <w:rFonts w:asciiTheme="minorHAnsi" w:hAnsiTheme="minorHAnsi"/>
          <w:sz w:val="24"/>
        </w:rPr>
      </w:pPr>
      <w:r w:rsidRPr="00711055">
        <w:rPr>
          <w:rFonts w:asciiTheme="minorHAnsi" w:hAnsiTheme="minorHAnsi"/>
          <w:sz w:val="24"/>
        </w:rPr>
        <w:t xml:space="preserve">Fees may be assessed during Summer Session under policies set forth for </w:t>
      </w:r>
      <w:r w:rsidR="002F7BEC">
        <w:rPr>
          <w:rFonts w:asciiTheme="minorHAnsi" w:hAnsiTheme="minorHAnsi"/>
          <w:sz w:val="24"/>
        </w:rPr>
        <w:t>2017-18</w:t>
      </w:r>
      <w:r>
        <w:rPr>
          <w:rFonts w:asciiTheme="minorHAnsi" w:hAnsiTheme="minorHAnsi"/>
          <w:sz w:val="24"/>
        </w:rPr>
        <w:t xml:space="preserve"> </w:t>
      </w:r>
      <w:r w:rsidRPr="00711055">
        <w:rPr>
          <w:rFonts w:asciiTheme="minorHAnsi" w:hAnsiTheme="minorHAnsi"/>
          <w:sz w:val="24"/>
        </w:rPr>
        <w:t>Academic Year.</w:t>
      </w:r>
    </w:p>
    <w:p w14:paraId="64575797" w14:textId="77777777" w:rsidR="00EB06D9" w:rsidRPr="00282BFE" w:rsidRDefault="00EB06D9" w:rsidP="00EB06D9">
      <w:pPr>
        <w:pStyle w:val="Level1"/>
        <w:numPr>
          <w:ilvl w:val="0"/>
          <w:numId w:val="31"/>
        </w:numPr>
        <w:tabs>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The Building Fee is assessed at $34.00 per student as a mandatory charge to all students attending Summer Session classes, on-campus.</w:t>
      </w:r>
    </w:p>
    <w:p w14:paraId="05C82B47" w14:textId="77777777" w:rsidR="00EB06D9" w:rsidRPr="00282BFE" w:rsidRDefault="00EB06D9" w:rsidP="00EB06D9">
      <w:pPr>
        <w:pStyle w:val="Level1"/>
        <w:numPr>
          <w:ilvl w:val="0"/>
          <w:numId w:val="31"/>
        </w:numPr>
        <w:tabs>
          <w:tab w:val="left" w:pos="-1080"/>
          <w:tab w:val="left" w:pos="-720"/>
        </w:tabs>
        <w:spacing w:before="120" w:after="120"/>
        <w:ind w:right="14"/>
        <w:jc w:val="both"/>
        <w:rPr>
          <w:rFonts w:asciiTheme="minorHAnsi" w:hAnsiTheme="minorHAnsi" w:cs="Arial"/>
          <w:sz w:val="24"/>
        </w:rPr>
      </w:pPr>
      <w:r w:rsidRPr="00282BFE">
        <w:rPr>
          <w:rFonts w:asciiTheme="minorHAnsi" w:hAnsiTheme="minorHAnsi" w:cs="Arial"/>
          <w:sz w:val="24"/>
        </w:rPr>
        <w:t xml:space="preserve">The Incidental Fee is based on recommendations and incidental fee guidelines of </w:t>
      </w:r>
      <w:r>
        <w:rPr>
          <w:rFonts w:asciiTheme="minorHAnsi" w:hAnsiTheme="minorHAnsi" w:cs="Arial"/>
          <w:sz w:val="24"/>
        </w:rPr>
        <w:t>the Incidental Fee Committee, ASOIT and University President</w:t>
      </w:r>
      <w:r w:rsidRPr="00282BFE">
        <w:rPr>
          <w:rFonts w:asciiTheme="minorHAnsi" w:hAnsiTheme="minorHAnsi" w:cs="Arial"/>
          <w:sz w:val="24"/>
        </w:rPr>
        <w:t>. Summer fee rates cannot exceed the per-term amount charged during the previous academic year. Institutions may choose to extend incidental fee services to students not enrolled for Summer Session, under the following conditions:</w:t>
      </w:r>
    </w:p>
    <w:p w14:paraId="6B30FA16" w14:textId="77777777" w:rsidR="00EB06D9" w:rsidRPr="00282BFE" w:rsidRDefault="00EB06D9" w:rsidP="00EB06D9">
      <w:pPr>
        <w:pStyle w:val="ListParagraph"/>
        <w:widowControl w:val="0"/>
        <w:numPr>
          <w:ilvl w:val="2"/>
          <w:numId w:val="8"/>
        </w:numPr>
        <w:tabs>
          <w:tab w:val="left" w:pos="-1080"/>
          <w:tab w:val="left" w:pos="-720"/>
        </w:tabs>
        <w:spacing w:before="120" w:after="120"/>
        <w:ind w:left="1080" w:right="14" w:hanging="360"/>
        <w:jc w:val="both"/>
        <w:rPr>
          <w:rFonts w:asciiTheme="minorHAnsi" w:hAnsiTheme="minorHAnsi"/>
          <w:sz w:val="24"/>
        </w:rPr>
      </w:pPr>
      <w:r w:rsidRPr="00282BFE">
        <w:rPr>
          <w:rFonts w:asciiTheme="minorHAnsi" w:hAnsiTheme="minorHAnsi"/>
          <w:sz w:val="24"/>
        </w:rPr>
        <w:t>A student had been enrolled in the prior academic year term and is expected to enroll in the subsequent academic year term; and</w:t>
      </w:r>
    </w:p>
    <w:p w14:paraId="50F72024" w14:textId="77777777" w:rsidR="00EB06D9" w:rsidRPr="00282BFE" w:rsidRDefault="00EB06D9" w:rsidP="00EB06D9">
      <w:pPr>
        <w:pStyle w:val="ListParagraph"/>
        <w:widowControl w:val="0"/>
        <w:numPr>
          <w:ilvl w:val="0"/>
          <w:numId w:val="32"/>
        </w:numPr>
        <w:tabs>
          <w:tab w:val="clear" w:pos="720"/>
          <w:tab w:val="left" w:pos="-1080"/>
          <w:tab w:val="left" w:pos="-720"/>
        </w:tabs>
        <w:spacing w:before="120" w:after="120"/>
        <w:ind w:left="1080" w:right="14"/>
        <w:jc w:val="both"/>
        <w:rPr>
          <w:rFonts w:asciiTheme="minorHAnsi" w:hAnsiTheme="minorHAnsi"/>
          <w:sz w:val="24"/>
        </w:rPr>
      </w:pPr>
      <w:r w:rsidRPr="00282BFE">
        <w:rPr>
          <w:rFonts w:asciiTheme="minorHAnsi" w:hAnsiTheme="minorHAnsi"/>
          <w:sz w:val="24"/>
        </w:rPr>
        <w:t>The student pays the Summer Session Incidental Fee.</w:t>
      </w:r>
    </w:p>
    <w:p w14:paraId="3398F28D" w14:textId="77777777" w:rsidR="00EB06D9" w:rsidRPr="00282BFE" w:rsidRDefault="00EB06D9" w:rsidP="00EB06D9">
      <w:pPr>
        <w:pStyle w:val="ListParagraph"/>
        <w:widowControl w:val="0"/>
        <w:numPr>
          <w:ilvl w:val="0"/>
          <w:numId w:val="33"/>
        </w:numPr>
        <w:tabs>
          <w:tab w:val="left" w:pos="-1080"/>
          <w:tab w:val="left" w:pos="-720"/>
        </w:tabs>
        <w:spacing w:before="120" w:after="120"/>
        <w:ind w:right="14"/>
        <w:jc w:val="both"/>
        <w:rPr>
          <w:rFonts w:asciiTheme="minorHAnsi" w:hAnsiTheme="minorHAnsi"/>
          <w:sz w:val="24"/>
        </w:rPr>
      </w:pPr>
      <w:r w:rsidRPr="00282BFE">
        <w:rPr>
          <w:rFonts w:asciiTheme="minorHAnsi" w:hAnsiTheme="minorHAnsi"/>
          <w:sz w:val="24"/>
        </w:rPr>
        <w:t xml:space="preserve">The Health Service Fee is authorized by the Board based on institutional recommendations for the level of service to be provided during the summer. Summer fee rates cannot exceed the per term amount charged during the prior academic year. </w:t>
      </w:r>
      <w:r>
        <w:rPr>
          <w:rFonts w:asciiTheme="minorHAnsi" w:hAnsiTheme="minorHAnsi"/>
          <w:sz w:val="24"/>
        </w:rPr>
        <w:t>Oregon Tech</w:t>
      </w:r>
      <w:r w:rsidRPr="00282BFE">
        <w:rPr>
          <w:rFonts w:asciiTheme="minorHAnsi" w:hAnsiTheme="minorHAnsi"/>
          <w:sz w:val="24"/>
        </w:rPr>
        <w:t xml:space="preserve"> may choose to extend health services to students not enrolled for Summer Session, under the following conditions:</w:t>
      </w:r>
    </w:p>
    <w:p w14:paraId="0D9DCD2A" w14:textId="77777777" w:rsidR="00EB06D9" w:rsidRPr="00282BFE" w:rsidRDefault="00EB06D9" w:rsidP="00EB06D9">
      <w:pPr>
        <w:pStyle w:val="ListParagraph"/>
        <w:widowControl w:val="0"/>
        <w:numPr>
          <w:ilvl w:val="1"/>
          <w:numId w:val="34"/>
        </w:numPr>
        <w:tabs>
          <w:tab w:val="left" w:pos="-1080"/>
          <w:tab w:val="left" w:pos="-720"/>
        </w:tabs>
        <w:spacing w:before="120" w:after="120"/>
        <w:ind w:left="1080" w:right="14" w:hanging="360"/>
        <w:jc w:val="both"/>
        <w:rPr>
          <w:rFonts w:asciiTheme="minorHAnsi" w:hAnsiTheme="minorHAnsi"/>
          <w:sz w:val="24"/>
        </w:rPr>
      </w:pPr>
      <w:r w:rsidRPr="00282BFE">
        <w:rPr>
          <w:rFonts w:asciiTheme="minorHAnsi" w:hAnsiTheme="minorHAnsi"/>
          <w:sz w:val="24"/>
        </w:rPr>
        <w:t>A student had been enrolled in the prior academic year term and is expected to enroll in the subsequent academic year term; and</w:t>
      </w:r>
    </w:p>
    <w:p w14:paraId="79D471BC" w14:textId="77777777" w:rsidR="00EB06D9" w:rsidRPr="00282BFE" w:rsidRDefault="00EB06D9" w:rsidP="00EB06D9">
      <w:pPr>
        <w:pStyle w:val="ListParagraph"/>
        <w:widowControl w:val="0"/>
        <w:numPr>
          <w:ilvl w:val="1"/>
          <w:numId w:val="34"/>
        </w:numPr>
        <w:tabs>
          <w:tab w:val="left" w:pos="-1080"/>
          <w:tab w:val="left" w:pos="-720"/>
        </w:tabs>
        <w:spacing w:before="120" w:after="120"/>
        <w:ind w:left="1080" w:right="14" w:hanging="360"/>
        <w:jc w:val="both"/>
        <w:rPr>
          <w:rFonts w:asciiTheme="minorHAnsi" w:hAnsiTheme="minorHAnsi"/>
          <w:sz w:val="24"/>
        </w:rPr>
      </w:pPr>
      <w:r w:rsidRPr="00282BFE">
        <w:rPr>
          <w:rFonts w:asciiTheme="minorHAnsi" w:hAnsiTheme="minorHAnsi"/>
          <w:sz w:val="24"/>
        </w:rPr>
        <w:t>The student pays the Summer Session Health Services Fee.</w:t>
      </w:r>
    </w:p>
    <w:p w14:paraId="661C4350" w14:textId="77777777" w:rsidR="00EB06D9" w:rsidRPr="00282BFE" w:rsidRDefault="00EB06D9" w:rsidP="00EB06D9">
      <w:pPr>
        <w:pStyle w:val="ListParagraph"/>
        <w:widowControl w:val="0"/>
        <w:numPr>
          <w:ilvl w:val="0"/>
          <w:numId w:val="35"/>
        </w:numPr>
        <w:tabs>
          <w:tab w:val="left" w:pos="-1080"/>
          <w:tab w:val="left" w:pos="-720"/>
        </w:tabs>
        <w:spacing w:before="120" w:after="120"/>
        <w:ind w:right="14"/>
        <w:jc w:val="both"/>
        <w:rPr>
          <w:rFonts w:asciiTheme="minorHAnsi" w:hAnsiTheme="minorHAnsi"/>
          <w:sz w:val="24"/>
        </w:rPr>
      </w:pPr>
      <w:r w:rsidRPr="00282BFE">
        <w:rPr>
          <w:rFonts w:asciiTheme="minorHAnsi" w:hAnsiTheme="minorHAnsi"/>
          <w:sz w:val="24"/>
        </w:rPr>
        <w:t>Off-campus tuition rates may be established for summer courses taught outside the campus boundaries. Mandatory fees are generally excluded from off-campus tuition rates but may be assessed when the course enrollment includes the opportunity for participation in services provided by such fees.</w:t>
      </w:r>
    </w:p>
    <w:p w14:paraId="654F4461" w14:textId="77777777" w:rsidR="00EB06D9" w:rsidRPr="00282BFE" w:rsidRDefault="00EB06D9" w:rsidP="00EB06D9">
      <w:pPr>
        <w:widowControl w:val="0"/>
        <w:tabs>
          <w:tab w:val="left" w:pos="-1080"/>
          <w:tab w:val="left" w:pos="-720"/>
        </w:tabs>
        <w:spacing w:before="120" w:after="120"/>
        <w:ind w:left="720" w:right="14"/>
        <w:jc w:val="both"/>
        <w:rPr>
          <w:rFonts w:asciiTheme="minorHAnsi" w:hAnsiTheme="minorHAnsi"/>
          <w:sz w:val="24"/>
        </w:rPr>
      </w:pPr>
      <w:r w:rsidRPr="00282BFE">
        <w:rPr>
          <w:rFonts w:asciiTheme="minorHAnsi" w:hAnsiTheme="minorHAnsi"/>
          <w:sz w:val="24"/>
        </w:rPr>
        <w:t xml:space="preserve">Special on-campus tuition rates may be established by </w:t>
      </w:r>
      <w:r>
        <w:rPr>
          <w:rFonts w:asciiTheme="minorHAnsi" w:hAnsiTheme="minorHAnsi"/>
          <w:sz w:val="24"/>
        </w:rPr>
        <w:t>Oregon Tech</w:t>
      </w:r>
      <w:r w:rsidRPr="00282BFE">
        <w:rPr>
          <w:rFonts w:asciiTheme="minorHAnsi" w:hAnsiTheme="minorHAnsi"/>
          <w:sz w:val="24"/>
        </w:rPr>
        <w:t xml:space="preserve"> for specific short-term, on-campus instructional activities including workshops, seminars, conferences, and short courses. These activities require payment of the Building Fee. Other Mandatory Fees are assessed only if students may participate in the services provided by such fees.</w:t>
      </w:r>
    </w:p>
    <w:p w14:paraId="2CFF21CB" w14:textId="77777777" w:rsidR="00EB06D9" w:rsidRDefault="00EB06D9" w:rsidP="00EB06D9">
      <w:pPr>
        <w:pStyle w:val="ListParagraph"/>
        <w:widowControl w:val="0"/>
        <w:numPr>
          <w:ilvl w:val="0"/>
          <w:numId w:val="35"/>
        </w:numPr>
        <w:tabs>
          <w:tab w:val="left" w:pos="-1080"/>
          <w:tab w:val="left" w:pos="-720"/>
        </w:tabs>
        <w:spacing w:before="120" w:after="120"/>
        <w:ind w:right="14"/>
        <w:jc w:val="both"/>
        <w:rPr>
          <w:rFonts w:asciiTheme="minorHAnsi" w:hAnsiTheme="minorHAnsi"/>
          <w:sz w:val="24"/>
        </w:rPr>
      </w:pPr>
      <w:r w:rsidRPr="00282BFE">
        <w:rPr>
          <w:rFonts w:asciiTheme="minorHAnsi" w:hAnsiTheme="minorHAnsi"/>
          <w:sz w:val="24"/>
        </w:rPr>
        <w:t>A student enrolled in a combination of credit and audit courses will be assessed for the total hours under the tuition and fee schedule appropriate to that individual's course or student level. If enrolled for audit courses only, the student will pay the same required fees as assessed for similar hours of for-credit classes.</w:t>
      </w:r>
    </w:p>
    <w:p w14:paraId="52C03971" w14:textId="77777777" w:rsidR="00EB06D9" w:rsidRPr="00FB60A6" w:rsidRDefault="00EB06D9" w:rsidP="00EB06D9">
      <w:pPr>
        <w:widowControl w:val="0"/>
        <w:tabs>
          <w:tab w:val="left" w:pos="-1080"/>
          <w:tab w:val="left" w:pos="-720"/>
        </w:tabs>
        <w:spacing w:before="120" w:after="120"/>
        <w:ind w:right="14"/>
        <w:jc w:val="both"/>
        <w:rPr>
          <w:rFonts w:asciiTheme="minorHAnsi" w:hAnsiTheme="minorHAnsi"/>
          <w:sz w:val="24"/>
        </w:rPr>
      </w:pPr>
    </w:p>
    <w:p w14:paraId="336895F1" w14:textId="77777777" w:rsidR="00EB06D9" w:rsidRPr="00282BFE" w:rsidRDefault="00EB06D9" w:rsidP="00EB06D9">
      <w:pPr>
        <w:pStyle w:val="ListParagraph"/>
        <w:widowControl w:val="0"/>
        <w:numPr>
          <w:ilvl w:val="0"/>
          <w:numId w:val="35"/>
        </w:numPr>
        <w:tabs>
          <w:tab w:val="left" w:pos="-1080"/>
          <w:tab w:val="left" w:pos="-720"/>
        </w:tabs>
        <w:spacing w:before="120" w:after="120"/>
        <w:ind w:right="14"/>
        <w:jc w:val="both"/>
        <w:rPr>
          <w:rFonts w:asciiTheme="minorHAnsi" w:hAnsiTheme="minorHAnsi"/>
          <w:sz w:val="24"/>
        </w:rPr>
      </w:pPr>
      <w:r w:rsidRPr="00282BFE">
        <w:rPr>
          <w:rFonts w:asciiTheme="minorHAnsi" w:hAnsiTheme="minorHAnsi"/>
          <w:sz w:val="24"/>
        </w:rPr>
        <w:lastRenderedPageBreak/>
        <w:t>The summer refund policy for course load reduction or withdrawal may follow the rule adopted in the preceding academic year fee book or a rule adopted by the institution. The intent of this option is to provide an opportunity for institutions to apply policies better suited to management of summer programs.</w:t>
      </w:r>
    </w:p>
    <w:p w14:paraId="4E4D1BFC" w14:textId="77777777" w:rsidR="00EB06D9" w:rsidRPr="00371E63" w:rsidRDefault="00EB06D9" w:rsidP="00EB06D9">
      <w:pPr>
        <w:pStyle w:val="Heading2"/>
        <w:spacing w:before="240" w:after="120"/>
        <w:jc w:val="center"/>
      </w:pPr>
      <w:bookmarkStart w:id="66" w:name="_Toc322438382"/>
      <w:bookmarkStart w:id="67" w:name="_Toc322440169"/>
      <w:bookmarkStart w:id="68" w:name="_Toc322440252"/>
      <w:bookmarkStart w:id="69" w:name="_Toc421521588"/>
      <w:r w:rsidRPr="00371E63">
        <w:t>Refunds, Waivers, and Accounts Receivable Policies</w:t>
      </w:r>
      <w:bookmarkEnd w:id="63"/>
      <w:bookmarkEnd w:id="64"/>
      <w:bookmarkEnd w:id="65"/>
      <w:bookmarkEnd w:id="66"/>
      <w:bookmarkEnd w:id="67"/>
      <w:bookmarkEnd w:id="68"/>
      <w:bookmarkEnd w:id="69"/>
    </w:p>
    <w:p w14:paraId="7F377FCA" w14:textId="77777777" w:rsidR="00EB06D9" w:rsidRPr="00E1624B" w:rsidRDefault="00EB06D9" w:rsidP="00EB06D9">
      <w:pPr>
        <w:pStyle w:val="ListParagraph"/>
        <w:numPr>
          <w:ilvl w:val="0"/>
          <w:numId w:val="37"/>
        </w:numPr>
        <w:tabs>
          <w:tab w:val="left" w:pos="360"/>
        </w:tabs>
        <w:spacing w:before="120" w:after="120"/>
        <w:ind w:left="360" w:right="14"/>
        <w:rPr>
          <w:rFonts w:asciiTheme="minorHAnsi" w:hAnsiTheme="minorHAnsi"/>
          <w:iCs/>
          <w:sz w:val="24"/>
        </w:rPr>
      </w:pPr>
      <w:r w:rsidRPr="00E1624B">
        <w:rPr>
          <w:rFonts w:asciiTheme="minorHAnsi" w:hAnsiTheme="minorHAnsi"/>
          <w:b/>
          <w:bCs/>
          <w:iCs/>
          <w:sz w:val="24"/>
        </w:rPr>
        <w:t>Refund Policies</w:t>
      </w:r>
      <w:r w:rsidRPr="00E1624B">
        <w:rPr>
          <w:rFonts w:asciiTheme="minorHAnsi" w:hAnsiTheme="minorHAnsi"/>
          <w:iCs/>
          <w:sz w:val="24"/>
        </w:rPr>
        <w:t xml:space="preserve"> </w:t>
      </w:r>
    </w:p>
    <w:p w14:paraId="0F2E6225" w14:textId="77777777" w:rsidR="00EB06D9" w:rsidRPr="00282BFE" w:rsidRDefault="00EB06D9" w:rsidP="00EB06D9">
      <w:pPr>
        <w:pStyle w:val="BodyText3"/>
        <w:numPr>
          <w:ilvl w:val="12"/>
          <w:numId w:val="0"/>
        </w:numPr>
        <w:tabs>
          <w:tab w:val="left" w:pos="-1080"/>
          <w:tab w:val="left" w:pos="-720"/>
        </w:tabs>
        <w:spacing w:before="120"/>
        <w:ind w:right="14"/>
        <w:jc w:val="both"/>
        <w:rPr>
          <w:rFonts w:asciiTheme="minorHAnsi" w:hAnsiTheme="minorHAnsi"/>
          <w:sz w:val="24"/>
          <w:szCs w:val="24"/>
        </w:rPr>
      </w:pPr>
      <w:r w:rsidRPr="00282BFE">
        <w:rPr>
          <w:rFonts w:asciiTheme="minorHAnsi" w:hAnsiTheme="minorHAnsi"/>
          <w:sz w:val="24"/>
          <w:szCs w:val="24"/>
        </w:rPr>
        <w:t xml:space="preserve">Refund policies for course load reduction or withdrawal are separately developed and adopted under </w:t>
      </w:r>
      <w:r>
        <w:rPr>
          <w:rFonts w:asciiTheme="minorHAnsi" w:hAnsiTheme="minorHAnsi"/>
          <w:sz w:val="24"/>
          <w:szCs w:val="24"/>
        </w:rPr>
        <w:t>Oregon Tech</w:t>
      </w:r>
      <w:r w:rsidRPr="00282BFE">
        <w:rPr>
          <w:rFonts w:asciiTheme="minorHAnsi" w:hAnsiTheme="minorHAnsi"/>
          <w:sz w:val="24"/>
          <w:szCs w:val="24"/>
        </w:rPr>
        <w:t xml:space="preserve"> fees and charges procedures. Refunds may be granted to students in accordance with the refund schedule on file with the Registrars or Business Office. This schedule shall be prepared annually. </w:t>
      </w:r>
    </w:p>
    <w:p w14:paraId="0177DF5D" w14:textId="77777777" w:rsidR="00EB06D9" w:rsidRPr="00282BFE" w:rsidRDefault="00EB06D9" w:rsidP="00EB06D9">
      <w:pPr>
        <w:numPr>
          <w:ilvl w:val="12"/>
          <w:numId w:val="0"/>
        </w:numPr>
        <w:tabs>
          <w:tab w:val="left" w:pos="-1080"/>
          <w:tab w:val="left" w:pos="-720"/>
        </w:tabs>
        <w:spacing w:before="120" w:after="120"/>
        <w:ind w:right="14"/>
        <w:jc w:val="both"/>
        <w:rPr>
          <w:rFonts w:asciiTheme="minorHAnsi" w:hAnsiTheme="minorHAnsi"/>
          <w:i/>
          <w:sz w:val="24"/>
        </w:rPr>
      </w:pPr>
      <w:r w:rsidRPr="00282BFE">
        <w:rPr>
          <w:rFonts w:asciiTheme="minorHAnsi" w:hAnsiTheme="minorHAnsi"/>
          <w:i/>
          <w:sz w:val="24"/>
          <w:u w:val="single"/>
        </w:rPr>
        <w:t>Military Duty Refund Polic</w:t>
      </w:r>
      <w:r w:rsidRPr="00282BFE">
        <w:rPr>
          <w:rFonts w:asciiTheme="minorHAnsi" w:hAnsiTheme="minorHAnsi"/>
          <w:i/>
          <w:sz w:val="24"/>
        </w:rPr>
        <w:t>y</w:t>
      </w:r>
    </w:p>
    <w:p w14:paraId="6EC0B5EB" w14:textId="77777777" w:rsidR="00EB06D9" w:rsidRDefault="00EB06D9" w:rsidP="00EB06D9">
      <w:pPr>
        <w:numPr>
          <w:ilvl w:val="12"/>
          <w:numId w:val="0"/>
        </w:numPr>
        <w:tabs>
          <w:tab w:val="left" w:pos="-1080"/>
          <w:tab w:val="left" w:pos="-720"/>
        </w:tabs>
        <w:spacing w:before="120" w:after="120"/>
        <w:ind w:right="14"/>
        <w:jc w:val="both"/>
        <w:rPr>
          <w:rFonts w:asciiTheme="minorHAnsi" w:hAnsiTheme="minorHAnsi"/>
          <w:sz w:val="24"/>
        </w:rPr>
      </w:pPr>
      <w:r w:rsidRPr="00282BFE">
        <w:rPr>
          <w:rFonts w:asciiTheme="minorHAnsi" w:hAnsiTheme="minorHAnsi"/>
          <w:sz w:val="24"/>
        </w:rPr>
        <w:t xml:space="preserve">Any student with orders to report for active military duty may withdraw at any time during the term and receive a full refund. If sufficient course work has been accomplished and the instructor feels justified in granting credit for the course work completed, credit may be granted and no refund will be given. </w:t>
      </w:r>
    </w:p>
    <w:p w14:paraId="720FEEFB" w14:textId="77777777" w:rsidR="00EB06D9" w:rsidRPr="00E1624B" w:rsidRDefault="00EB06D9" w:rsidP="00EB06D9">
      <w:pPr>
        <w:pStyle w:val="ListParagraph"/>
        <w:numPr>
          <w:ilvl w:val="0"/>
          <w:numId w:val="37"/>
        </w:numPr>
        <w:tabs>
          <w:tab w:val="left" w:pos="360"/>
        </w:tabs>
        <w:spacing w:before="120" w:after="120"/>
        <w:ind w:left="360" w:right="14"/>
        <w:rPr>
          <w:rFonts w:asciiTheme="minorHAnsi" w:hAnsiTheme="minorHAnsi"/>
          <w:b/>
          <w:bCs/>
          <w:iCs/>
          <w:sz w:val="24"/>
        </w:rPr>
      </w:pPr>
      <w:r w:rsidRPr="00E1624B">
        <w:rPr>
          <w:rFonts w:asciiTheme="minorHAnsi" w:hAnsiTheme="minorHAnsi"/>
          <w:b/>
          <w:bCs/>
          <w:iCs/>
          <w:sz w:val="24"/>
        </w:rPr>
        <w:t>Waiver of Certain Student Fees</w:t>
      </w:r>
    </w:p>
    <w:p w14:paraId="68500D3D" w14:textId="77777777"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Certain student fee charges may be waived when regulations of federal agencies or contract agreements preclude the assessment of those fees. Please contact the institution’s Business Office to determine which fee charges are eligible, if any, for this waiver.</w:t>
      </w:r>
    </w:p>
    <w:p w14:paraId="6218D951" w14:textId="77777777" w:rsidR="00EB06D9" w:rsidRPr="00E1624B" w:rsidRDefault="00EB06D9" w:rsidP="00EB06D9">
      <w:pPr>
        <w:pStyle w:val="ListParagraph"/>
        <w:numPr>
          <w:ilvl w:val="0"/>
          <w:numId w:val="37"/>
        </w:numPr>
        <w:tabs>
          <w:tab w:val="left" w:pos="360"/>
        </w:tabs>
        <w:spacing w:before="120" w:after="120"/>
        <w:ind w:left="360" w:right="14"/>
        <w:rPr>
          <w:rFonts w:asciiTheme="minorHAnsi" w:hAnsiTheme="minorHAnsi"/>
          <w:b/>
          <w:bCs/>
          <w:iCs/>
          <w:sz w:val="24"/>
        </w:rPr>
      </w:pPr>
      <w:r w:rsidRPr="00E1624B">
        <w:rPr>
          <w:rFonts w:asciiTheme="minorHAnsi" w:hAnsiTheme="minorHAnsi"/>
          <w:b/>
          <w:bCs/>
          <w:iCs/>
          <w:sz w:val="24"/>
        </w:rPr>
        <w:t>Institution Authority to Adjust Charges</w:t>
      </w:r>
    </w:p>
    <w:p w14:paraId="6E55D170" w14:textId="77777777" w:rsidR="00EB06D9" w:rsidRPr="00282BFE" w:rsidRDefault="00EB06D9" w:rsidP="00EB06D9">
      <w:pPr>
        <w:spacing w:before="120" w:after="120"/>
        <w:ind w:right="14"/>
        <w:jc w:val="both"/>
        <w:rPr>
          <w:rFonts w:asciiTheme="minorHAnsi" w:hAnsiTheme="minorHAnsi"/>
          <w:sz w:val="24"/>
        </w:rPr>
      </w:pPr>
      <w:r w:rsidRPr="00282BFE">
        <w:rPr>
          <w:rFonts w:asciiTheme="minorHAnsi" w:hAnsiTheme="minorHAnsi"/>
          <w:sz w:val="24"/>
        </w:rPr>
        <w:t>Authorized institution officials may make tuition refunds and waive fines or charges that result from circumstances beyond the student’s control or are for the best interest of the institution.</w:t>
      </w:r>
    </w:p>
    <w:p w14:paraId="6D50ADCC" w14:textId="77777777" w:rsidR="00EB06D9" w:rsidRPr="00282BFE" w:rsidRDefault="00EB06D9" w:rsidP="00EB06D9">
      <w:pPr>
        <w:pStyle w:val="ListParagraph"/>
        <w:numPr>
          <w:ilvl w:val="0"/>
          <w:numId w:val="37"/>
        </w:numPr>
        <w:tabs>
          <w:tab w:val="left" w:pos="360"/>
        </w:tabs>
        <w:spacing w:before="120" w:after="120"/>
        <w:ind w:left="360" w:right="12"/>
        <w:rPr>
          <w:rFonts w:asciiTheme="minorHAnsi" w:hAnsiTheme="minorHAnsi"/>
          <w:b/>
          <w:bCs/>
          <w:iCs/>
          <w:sz w:val="24"/>
        </w:rPr>
      </w:pPr>
      <w:r w:rsidRPr="00282BFE">
        <w:rPr>
          <w:rFonts w:asciiTheme="minorHAnsi" w:hAnsiTheme="minorHAnsi"/>
          <w:b/>
          <w:bCs/>
          <w:iCs/>
          <w:sz w:val="24"/>
        </w:rPr>
        <w:t xml:space="preserve">Revolving Charge Accounts Policy </w:t>
      </w:r>
    </w:p>
    <w:p w14:paraId="4B284B8B" w14:textId="77777777" w:rsidR="00EB06D9" w:rsidRPr="00282BFE" w:rsidRDefault="00EB06D9" w:rsidP="00EB06D9">
      <w:pPr>
        <w:spacing w:before="120" w:after="120"/>
        <w:ind w:right="12"/>
        <w:jc w:val="both"/>
        <w:rPr>
          <w:rFonts w:asciiTheme="minorHAnsi" w:hAnsiTheme="minorHAnsi"/>
          <w:sz w:val="24"/>
        </w:rPr>
      </w:pPr>
      <w:r>
        <w:rPr>
          <w:rFonts w:asciiTheme="minorHAnsi" w:hAnsiTheme="minorHAnsi"/>
          <w:sz w:val="24"/>
        </w:rPr>
        <w:t>Oregon Tech</w:t>
      </w:r>
      <w:r w:rsidRPr="00282BFE">
        <w:rPr>
          <w:rFonts w:asciiTheme="minorHAnsi" w:hAnsiTheme="minorHAnsi"/>
          <w:sz w:val="24"/>
        </w:rPr>
        <w:t xml:space="preserve"> offer</w:t>
      </w:r>
      <w:r>
        <w:rPr>
          <w:rFonts w:asciiTheme="minorHAnsi" w:hAnsiTheme="minorHAnsi"/>
          <w:sz w:val="24"/>
        </w:rPr>
        <w:t>s</w:t>
      </w:r>
      <w:r w:rsidRPr="00282BFE">
        <w:rPr>
          <w:rFonts w:asciiTheme="minorHAnsi" w:hAnsiTheme="minorHAnsi"/>
          <w:sz w:val="24"/>
        </w:rPr>
        <w:t xml:space="preserve"> extended payment terms utilizing a revolving charge account method </w:t>
      </w:r>
      <w:r>
        <w:rPr>
          <w:rFonts w:asciiTheme="minorHAnsi" w:hAnsiTheme="minorHAnsi"/>
          <w:sz w:val="24"/>
        </w:rPr>
        <w:t xml:space="preserve">will </w:t>
      </w:r>
      <w:r w:rsidRPr="00282BFE">
        <w:rPr>
          <w:rFonts w:asciiTheme="minorHAnsi" w:hAnsiTheme="minorHAnsi"/>
          <w:sz w:val="24"/>
        </w:rPr>
        <w:t xml:space="preserve">adopt rules creating the Revolving Charge Account Plan, and describe the terms and conditions applicable to the Plan. </w:t>
      </w:r>
    </w:p>
    <w:p w14:paraId="63E6E4A4"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sz w:val="24"/>
        </w:rPr>
        <w:t xml:space="preserve">Transactions covered by the Plan may include (by way of description and not limitation) tuition, fees, housing charges and other obligations primarily involving students; facilities rentals, lease agreements, program user charges and other transactions with non-students; and fines and penalties, incurred by anyone. </w:t>
      </w:r>
    </w:p>
    <w:p w14:paraId="2BDE5CEB"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sz w:val="24"/>
        </w:rPr>
        <w:t xml:space="preserve">If adopted, institutional rules shall: </w:t>
      </w:r>
    </w:p>
    <w:p w14:paraId="0C9F6815" w14:textId="77777777" w:rsidR="00EB06D9" w:rsidRPr="00282BFE" w:rsidRDefault="00EB06D9" w:rsidP="00EB06D9">
      <w:pPr>
        <w:numPr>
          <w:ilvl w:val="0"/>
          <w:numId w:val="10"/>
        </w:numPr>
        <w:spacing w:before="120" w:after="120"/>
        <w:ind w:right="12"/>
        <w:jc w:val="both"/>
        <w:rPr>
          <w:rFonts w:asciiTheme="minorHAnsi" w:hAnsiTheme="minorHAnsi"/>
          <w:sz w:val="24"/>
        </w:rPr>
      </w:pPr>
      <w:r w:rsidRPr="00282BFE">
        <w:rPr>
          <w:rFonts w:asciiTheme="minorHAnsi" w:hAnsiTheme="minorHAnsi"/>
          <w:sz w:val="24"/>
        </w:rPr>
        <w:t xml:space="preserve">Describe the interest to be charged, as well as service charges, collection and other fees and costs, if any, and penalties that would apply should an account become delinquent; </w:t>
      </w:r>
    </w:p>
    <w:p w14:paraId="5A68B6C2" w14:textId="0A26D4B2" w:rsidR="00EB06D9" w:rsidRPr="00282BFE" w:rsidRDefault="00EB06D9" w:rsidP="00EB06D9">
      <w:pPr>
        <w:numPr>
          <w:ilvl w:val="0"/>
          <w:numId w:val="10"/>
        </w:numPr>
        <w:spacing w:before="120" w:after="120"/>
        <w:ind w:right="12"/>
        <w:jc w:val="both"/>
        <w:rPr>
          <w:rFonts w:asciiTheme="minorHAnsi" w:hAnsiTheme="minorHAnsi"/>
          <w:sz w:val="24"/>
        </w:rPr>
      </w:pPr>
      <w:r w:rsidRPr="00282BFE">
        <w:rPr>
          <w:rFonts w:asciiTheme="minorHAnsi" w:hAnsiTheme="minorHAnsi"/>
          <w:sz w:val="24"/>
        </w:rPr>
        <w:t xml:space="preserve">Provide for an agreement to be signed by the obligor, the form of which shall be approved by the Vice </w:t>
      </w:r>
      <w:r w:rsidR="00F235AE">
        <w:rPr>
          <w:rFonts w:asciiTheme="minorHAnsi" w:hAnsiTheme="minorHAnsi"/>
          <w:sz w:val="24"/>
        </w:rPr>
        <w:t xml:space="preserve">President </w:t>
      </w:r>
      <w:r w:rsidR="00F235AE" w:rsidRPr="00282BFE">
        <w:rPr>
          <w:rFonts w:asciiTheme="minorHAnsi" w:hAnsiTheme="minorHAnsi"/>
          <w:sz w:val="24"/>
        </w:rPr>
        <w:t>for</w:t>
      </w:r>
      <w:r w:rsidRPr="00282BFE">
        <w:rPr>
          <w:rFonts w:asciiTheme="minorHAnsi" w:hAnsiTheme="minorHAnsi"/>
          <w:sz w:val="24"/>
        </w:rPr>
        <w:t xml:space="preserve"> Finance and Administration; the institution shall use its best efforts to have the agreement signed, except for debts arising from fines, penalties and the like; and </w:t>
      </w:r>
    </w:p>
    <w:p w14:paraId="7E38151A" w14:textId="1676A419" w:rsidR="00EB06D9" w:rsidRDefault="00EB06D9" w:rsidP="00EB06D9">
      <w:pPr>
        <w:numPr>
          <w:ilvl w:val="0"/>
          <w:numId w:val="10"/>
        </w:numPr>
        <w:spacing w:before="120" w:after="120"/>
        <w:ind w:right="12"/>
        <w:jc w:val="both"/>
        <w:rPr>
          <w:rFonts w:asciiTheme="minorHAnsi" w:hAnsiTheme="minorHAnsi"/>
          <w:sz w:val="24"/>
        </w:rPr>
      </w:pPr>
      <w:r w:rsidRPr="00282BFE">
        <w:rPr>
          <w:rFonts w:asciiTheme="minorHAnsi" w:hAnsiTheme="minorHAnsi"/>
          <w:sz w:val="24"/>
        </w:rPr>
        <w:t>Provide that tuition and fees incurred in any given term are paid in full prior to enrollment in any subsequent term.</w:t>
      </w:r>
    </w:p>
    <w:p w14:paraId="488E8479" w14:textId="77777777" w:rsidR="00EB06D9" w:rsidRPr="00E1624B" w:rsidRDefault="00EB06D9" w:rsidP="00EB06D9">
      <w:pPr>
        <w:pStyle w:val="ListParagraph"/>
        <w:keepNext/>
        <w:keepLines/>
        <w:numPr>
          <w:ilvl w:val="0"/>
          <w:numId w:val="37"/>
        </w:numPr>
        <w:tabs>
          <w:tab w:val="left" w:pos="360"/>
        </w:tabs>
        <w:spacing w:before="120" w:after="120"/>
        <w:ind w:left="360" w:right="12"/>
        <w:rPr>
          <w:rFonts w:asciiTheme="minorHAnsi" w:hAnsiTheme="minorHAnsi"/>
          <w:b/>
          <w:bCs/>
          <w:iCs/>
          <w:sz w:val="24"/>
        </w:rPr>
      </w:pPr>
      <w:r>
        <w:rPr>
          <w:rFonts w:asciiTheme="minorHAnsi" w:hAnsiTheme="minorHAnsi"/>
          <w:b/>
          <w:bCs/>
          <w:iCs/>
          <w:sz w:val="24"/>
        </w:rPr>
        <w:lastRenderedPageBreak/>
        <w:t>I</w:t>
      </w:r>
      <w:r w:rsidRPr="00282BFE">
        <w:rPr>
          <w:rFonts w:asciiTheme="minorHAnsi" w:hAnsiTheme="minorHAnsi"/>
          <w:b/>
          <w:bCs/>
          <w:iCs/>
          <w:sz w:val="24"/>
        </w:rPr>
        <w:t>nterest on Overdue Accounts</w:t>
      </w:r>
      <w:r w:rsidRPr="00E1624B">
        <w:rPr>
          <w:rFonts w:asciiTheme="minorHAnsi" w:hAnsiTheme="minorHAnsi"/>
          <w:b/>
          <w:bCs/>
          <w:iCs/>
          <w:sz w:val="24"/>
        </w:rPr>
        <w:t xml:space="preserve"> </w:t>
      </w:r>
    </w:p>
    <w:p w14:paraId="1E7D03E1" w14:textId="77777777" w:rsidR="00EB06D9" w:rsidRPr="00282BFE" w:rsidRDefault="00EB06D9" w:rsidP="00EB06D9">
      <w:pPr>
        <w:keepNext/>
        <w:keepLines/>
        <w:numPr>
          <w:ilvl w:val="12"/>
          <w:numId w:val="0"/>
        </w:numPr>
        <w:spacing w:before="120" w:after="120"/>
        <w:ind w:right="12"/>
        <w:jc w:val="both"/>
        <w:rPr>
          <w:rFonts w:asciiTheme="minorHAnsi" w:hAnsiTheme="minorHAnsi"/>
          <w:sz w:val="24"/>
        </w:rPr>
      </w:pPr>
      <w:r w:rsidRPr="00282BFE">
        <w:rPr>
          <w:rFonts w:asciiTheme="minorHAnsi" w:hAnsiTheme="minorHAnsi"/>
          <w:i/>
          <w:sz w:val="24"/>
        </w:rPr>
        <w:t>Section 1:</w:t>
      </w:r>
      <w:r w:rsidRPr="00282BFE">
        <w:rPr>
          <w:rFonts w:asciiTheme="minorHAnsi" w:hAnsiTheme="minorHAnsi"/>
          <w:sz w:val="24"/>
        </w:rPr>
        <w:t xml:space="preserve"> </w:t>
      </w:r>
      <w:r>
        <w:rPr>
          <w:rFonts w:asciiTheme="minorHAnsi" w:hAnsiTheme="minorHAnsi"/>
          <w:sz w:val="24"/>
        </w:rPr>
        <w:t>Oregon Tech</w:t>
      </w:r>
      <w:r w:rsidRPr="00282BFE">
        <w:rPr>
          <w:rFonts w:asciiTheme="minorHAnsi" w:hAnsiTheme="minorHAnsi"/>
          <w:sz w:val="24"/>
        </w:rPr>
        <w:t xml:space="preserve"> may, pursuant to an institutionally adopted rule, charge nine percent interest on all liquidated debts that are past due. A liquidated debt is one in which the amount owed is certain, e.g., a standard fee or a debt based on a promissory note.</w:t>
      </w:r>
    </w:p>
    <w:p w14:paraId="3D0A941F"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i/>
          <w:sz w:val="24"/>
        </w:rPr>
        <w:t>Section 2:</w:t>
      </w:r>
      <w:r w:rsidRPr="00282BFE">
        <w:rPr>
          <w:rFonts w:asciiTheme="minorHAnsi" w:hAnsiTheme="minorHAnsi"/>
          <w:sz w:val="24"/>
        </w:rPr>
        <w:t xml:space="preserve"> Where the institution so provides by administrative rule and a contract or note signed by the obligor so specifies, the institute may charge not more than 12 percent interest on the obligation evidenced by the signed note or contract. </w:t>
      </w:r>
    </w:p>
    <w:p w14:paraId="59E14ABE" w14:textId="77777777" w:rsidR="00EB06D9" w:rsidRPr="00282BFE" w:rsidRDefault="00EB06D9" w:rsidP="00EB06D9">
      <w:pPr>
        <w:spacing w:before="120" w:after="120"/>
        <w:ind w:right="12"/>
        <w:jc w:val="both"/>
        <w:rPr>
          <w:rFonts w:asciiTheme="minorHAnsi" w:hAnsiTheme="minorHAnsi"/>
          <w:sz w:val="24"/>
        </w:rPr>
      </w:pPr>
      <w:r>
        <w:rPr>
          <w:rFonts w:asciiTheme="minorHAnsi" w:hAnsiTheme="minorHAnsi"/>
          <w:sz w:val="24"/>
        </w:rPr>
        <w:t>Oregon Tech</w:t>
      </w:r>
      <w:r w:rsidRPr="00282BFE">
        <w:rPr>
          <w:rFonts w:asciiTheme="minorHAnsi" w:hAnsiTheme="minorHAnsi"/>
          <w:sz w:val="24"/>
        </w:rPr>
        <w:t xml:space="preserve"> may not charge interest under both Sections 1 and 2, above, simultaneously on a single obligation; in no event shall </w:t>
      </w:r>
      <w:r>
        <w:rPr>
          <w:rFonts w:asciiTheme="minorHAnsi" w:hAnsiTheme="minorHAnsi"/>
          <w:sz w:val="24"/>
        </w:rPr>
        <w:t xml:space="preserve">Oregon Tech </w:t>
      </w:r>
      <w:r w:rsidRPr="00282BFE">
        <w:rPr>
          <w:rFonts w:asciiTheme="minorHAnsi" w:hAnsiTheme="minorHAnsi"/>
          <w:sz w:val="24"/>
        </w:rPr>
        <w:t xml:space="preserve">charge more than 12 percent interest. </w:t>
      </w:r>
    </w:p>
    <w:p w14:paraId="32FD40ED" w14:textId="77777777" w:rsidR="00EB06D9" w:rsidRPr="00282BFE" w:rsidRDefault="00EB06D9" w:rsidP="00EB06D9">
      <w:pPr>
        <w:spacing w:before="120" w:after="120"/>
        <w:ind w:right="12"/>
        <w:jc w:val="both"/>
        <w:rPr>
          <w:rFonts w:asciiTheme="minorHAnsi" w:hAnsiTheme="minorHAnsi"/>
          <w:sz w:val="24"/>
        </w:rPr>
      </w:pPr>
      <w:r w:rsidRPr="00282BFE">
        <w:rPr>
          <w:rFonts w:asciiTheme="minorHAnsi" w:hAnsiTheme="minorHAnsi"/>
          <w:sz w:val="24"/>
        </w:rPr>
        <w:t>Institution rules may provide for interest charges to begin immediately following the date on which a debt becomes overdue or after a specified waiting period.</w:t>
      </w:r>
    </w:p>
    <w:p w14:paraId="38B09F23" w14:textId="77777777" w:rsidR="00EB06D9" w:rsidRPr="00282BFE" w:rsidRDefault="00EB06D9" w:rsidP="00EB06D9">
      <w:pPr>
        <w:pStyle w:val="Heading2"/>
        <w:spacing w:before="240" w:after="120"/>
        <w:jc w:val="center"/>
      </w:pPr>
      <w:bookmarkStart w:id="70" w:name="Resource_fee_policy"/>
      <w:bookmarkStart w:id="71" w:name="Differential_Policy"/>
      <w:bookmarkStart w:id="72" w:name="_Toc291078512"/>
      <w:bookmarkStart w:id="73" w:name="_Toc291078952"/>
      <w:bookmarkStart w:id="74" w:name="_Toc291079500"/>
      <w:bookmarkStart w:id="75" w:name="_Toc322438383"/>
      <w:bookmarkStart w:id="76" w:name="_Toc322440170"/>
      <w:bookmarkStart w:id="77" w:name="_Toc322440253"/>
      <w:bookmarkStart w:id="78" w:name="_Ref322696388"/>
      <w:bookmarkStart w:id="79" w:name="_Toc421521589"/>
      <w:bookmarkEnd w:id="70"/>
      <w:bookmarkEnd w:id="71"/>
      <w:r w:rsidRPr="00282BFE">
        <w:t>Differential Tuition Policy</w:t>
      </w:r>
      <w:bookmarkEnd w:id="72"/>
      <w:bookmarkEnd w:id="73"/>
      <w:bookmarkEnd w:id="74"/>
      <w:bookmarkEnd w:id="75"/>
      <w:bookmarkEnd w:id="76"/>
      <w:bookmarkEnd w:id="77"/>
      <w:bookmarkEnd w:id="78"/>
      <w:bookmarkEnd w:id="79"/>
    </w:p>
    <w:p w14:paraId="6AD5CFCA" w14:textId="77777777" w:rsidR="00EB06D9" w:rsidRPr="00282BFE" w:rsidRDefault="00EB06D9" w:rsidP="00EB06D9">
      <w:pPr>
        <w:autoSpaceDE w:val="0"/>
        <w:autoSpaceDN w:val="0"/>
        <w:adjustRightInd w:val="0"/>
        <w:spacing w:before="120" w:after="120"/>
        <w:ind w:right="12"/>
        <w:jc w:val="both"/>
        <w:rPr>
          <w:rFonts w:asciiTheme="minorHAnsi" w:hAnsiTheme="minorHAnsi"/>
          <w:sz w:val="24"/>
        </w:rPr>
      </w:pPr>
      <w:r w:rsidRPr="00282BFE">
        <w:rPr>
          <w:rFonts w:asciiTheme="minorHAnsi" w:hAnsiTheme="minorHAnsi"/>
          <w:sz w:val="24"/>
        </w:rPr>
        <w:t>Differential tuition will be allowed in certain programs (as approved by the Board) with the understanding that: 1) an amount equal to 10</w:t>
      </w:r>
      <w:r>
        <w:rPr>
          <w:rFonts w:asciiTheme="minorHAnsi" w:hAnsiTheme="minorHAnsi"/>
          <w:sz w:val="24"/>
        </w:rPr>
        <w:t>%</w:t>
      </w:r>
      <w:r w:rsidRPr="00282BFE">
        <w:rPr>
          <w:rFonts w:asciiTheme="minorHAnsi" w:hAnsiTheme="minorHAnsi"/>
          <w:sz w:val="24"/>
        </w:rPr>
        <w:t xml:space="preserve"> of such differential tuition for </w:t>
      </w:r>
      <w:r>
        <w:rPr>
          <w:rFonts w:asciiTheme="minorHAnsi" w:hAnsiTheme="minorHAnsi"/>
          <w:sz w:val="24"/>
        </w:rPr>
        <w:t>undergraduate</w:t>
      </w:r>
      <w:r w:rsidRPr="00282BFE">
        <w:rPr>
          <w:rFonts w:asciiTheme="minorHAnsi" w:hAnsiTheme="minorHAnsi"/>
          <w:sz w:val="24"/>
        </w:rPr>
        <w:t xml:space="preserve"> programs be earmarked for financial aid funding targeted to low-income students majoring in the program(s) assessing differential tuition, such that this does not become an impediment to degree choice and 2) institutions will need to submit the rationale for the need for differential tuition in accordance with the proposed differential tuition policy framework outlined below.</w:t>
      </w:r>
    </w:p>
    <w:p w14:paraId="27915C90" w14:textId="0EBA76A7" w:rsidR="00EB06D9" w:rsidRPr="00282BFE" w:rsidRDefault="00EB06D9" w:rsidP="00EB06D9">
      <w:pPr>
        <w:spacing w:before="120" w:after="120"/>
        <w:ind w:right="12"/>
        <w:jc w:val="both"/>
        <w:rPr>
          <w:rFonts w:asciiTheme="minorHAnsi" w:hAnsiTheme="minorHAnsi"/>
          <w:sz w:val="24"/>
        </w:rPr>
      </w:pPr>
      <w:r>
        <w:rPr>
          <w:rFonts w:asciiTheme="minorHAnsi" w:hAnsiTheme="minorHAnsi"/>
          <w:sz w:val="24"/>
        </w:rPr>
        <w:t>Oregon Tech</w:t>
      </w:r>
      <w:r w:rsidRPr="00282BFE">
        <w:rPr>
          <w:rFonts w:asciiTheme="minorHAnsi" w:hAnsiTheme="minorHAnsi"/>
          <w:sz w:val="24"/>
        </w:rPr>
        <w:t xml:space="preserve"> may request </w:t>
      </w:r>
      <w:r w:rsidR="00F235AE">
        <w:rPr>
          <w:rFonts w:asciiTheme="minorHAnsi" w:hAnsiTheme="minorHAnsi"/>
          <w:sz w:val="24"/>
        </w:rPr>
        <w:t xml:space="preserve">Board </w:t>
      </w:r>
      <w:r w:rsidRPr="00282BFE">
        <w:rPr>
          <w:rFonts w:asciiTheme="minorHAnsi" w:hAnsiTheme="minorHAnsi"/>
          <w:sz w:val="24"/>
        </w:rPr>
        <w:t xml:space="preserve">approval for differential tuition at either the </w:t>
      </w:r>
      <w:r>
        <w:rPr>
          <w:rFonts w:asciiTheme="minorHAnsi" w:hAnsiTheme="minorHAnsi"/>
          <w:sz w:val="24"/>
        </w:rPr>
        <w:t>u</w:t>
      </w:r>
      <w:r w:rsidRPr="00282BFE">
        <w:rPr>
          <w:rFonts w:asciiTheme="minorHAnsi" w:hAnsiTheme="minorHAnsi"/>
          <w:sz w:val="24"/>
        </w:rPr>
        <w:t>ndergraduate or graduate level subject to the following:</w:t>
      </w:r>
    </w:p>
    <w:p w14:paraId="0E98D49C" w14:textId="007A583C" w:rsidR="00EB06D9" w:rsidRPr="00282BFE" w:rsidRDefault="00EB06D9" w:rsidP="00EB06D9">
      <w:pPr>
        <w:numPr>
          <w:ilvl w:val="0"/>
          <w:numId w:val="15"/>
        </w:numPr>
        <w:spacing w:before="120" w:after="120"/>
        <w:ind w:right="12"/>
        <w:jc w:val="both"/>
        <w:rPr>
          <w:rFonts w:asciiTheme="minorHAnsi" w:hAnsiTheme="minorHAnsi"/>
          <w:sz w:val="24"/>
        </w:rPr>
      </w:pPr>
      <w:r>
        <w:rPr>
          <w:rFonts w:asciiTheme="minorHAnsi" w:hAnsiTheme="minorHAnsi"/>
          <w:sz w:val="24"/>
        </w:rPr>
        <w:t>When</w:t>
      </w:r>
      <w:r w:rsidRPr="00282BFE">
        <w:rPr>
          <w:rFonts w:asciiTheme="minorHAnsi" w:hAnsiTheme="minorHAnsi"/>
          <w:sz w:val="24"/>
        </w:rPr>
        <w:t xml:space="preserve"> considering differential tuition </w:t>
      </w:r>
      <w:r>
        <w:rPr>
          <w:rFonts w:asciiTheme="minorHAnsi" w:hAnsiTheme="minorHAnsi"/>
          <w:sz w:val="24"/>
        </w:rPr>
        <w:t xml:space="preserve">Oregon Tech </w:t>
      </w:r>
      <w:r w:rsidRPr="00282BFE">
        <w:rPr>
          <w:rFonts w:asciiTheme="minorHAnsi" w:hAnsiTheme="minorHAnsi"/>
          <w:sz w:val="24"/>
        </w:rPr>
        <w:t xml:space="preserve">must develop a </w:t>
      </w:r>
      <w:r w:rsidR="00F235AE">
        <w:rPr>
          <w:rFonts w:asciiTheme="minorHAnsi" w:hAnsiTheme="minorHAnsi"/>
          <w:sz w:val="24"/>
        </w:rPr>
        <w:t>recommendation</w:t>
      </w:r>
      <w:r w:rsidRPr="00282BFE">
        <w:rPr>
          <w:rFonts w:asciiTheme="minorHAnsi" w:hAnsiTheme="minorHAnsi"/>
          <w:sz w:val="24"/>
        </w:rPr>
        <w:t xml:space="preserve"> </w:t>
      </w:r>
      <w:r w:rsidR="007E1777">
        <w:rPr>
          <w:rFonts w:asciiTheme="minorHAnsi" w:hAnsiTheme="minorHAnsi"/>
          <w:sz w:val="24"/>
        </w:rPr>
        <w:t>that goes through</w:t>
      </w:r>
      <w:r w:rsidR="00F235AE">
        <w:rPr>
          <w:rFonts w:asciiTheme="minorHAnsi" w:hAnsiTheme="minorHAnsi"/>
          <w:sz w:val="24"/>
        </w:rPr>
        <w:t xml:space="preserve"> a</w:t>
      </w:r>
      <w:r w:rsidR="007E1777">
        <w:rPr>
          <w:rFonts w:asciiTheme="minorHAnsi" w:hAnsiTheme="minorHAnsi"/>
          <w:sz w:val="24"/>
        </w:rPr>
        <w:t xml:space="preserve"> committee before </w:t>
      </w:r>
      <w:r w:rsidR="00F235AE">
        <w:rPr>
          <w:rFonts w:asciiTheme="minorHAnsi" w:hAnsiTheme="minorHAnsi"/>
          <w:sz w:val="24"/>
        </w:rPr>
        <w:t xml:space="preserve">the </w:t>
      </w:r>
      <w:r w:rsidR="007E1777">
        <w:rPr>
          <w:rFonts w:asciiTheme="minorHAnsi" w:hAnsiTheme="minorHAnsi"/>
          <w:sz w:val="24"/>
        </w:rPr>
        <w:t xml:space="preserve">Board can </w:t>
      </w:r>
      <w:r w:rsidRPr="00282BFE">
        <w:rPr>
          <w:rFonts w:asciiTheme="minorHAnsi" w:hAnsiTheme="minorHAnsi"/>
          <w:sz w:val="24"/>
        </w:rPr>
        <w:t>address the following criteria:</w:t>
      </w:r>
    </w:p>
    <w:p w14:paraId="1821256A" w14:textId="77777777" w:rsidR="00EB06D9" w:rsidRPr="00282BFE" w:rsidRDefault="00EB06D9" w:rsidP="00EB06D9">
      <w:pPr>
        <w:numPr>
          <w:ilvl w:val="1"/>
          <w:numId w:val="15"/>
        </w:numPr>
        <w:spacing w:before="120" w:after="120"/>
        <w:ind w:right="12"/>
        <w:jc w:val="both"/>
        <w:rPr>
          <w:rFonts w:asciiTheme="minorHAnsi" w:hAnsiTheme="minorHAnsi"/>
          <w:sz w:val="24"/>
        </w:rPr>
      </w:pPr>
      <w:r w:rsidRPr="00282BFE">
        <w:rPr>
          <w:rFonts w:asciiTheme="minorHAnsi" w:hAnsiTheme="minorHAnsi"/>
          <w:sz w:val="24"/>
        </w:rPr>
        <w:t>Quality of the student experience:</w:t>
      </w:r>
    </w:p>
    <w:p w14:paraId="4AA50496" w14:textId="77777777" w:rsidR="00EB06D9" w:rsidRPr="00282BFE" w:rsidRDefault="00EB06D9" w:rsidP="00EB06D9">
      <w:pPr>
        <w:numPr>
          <w:ilvl w:val="2"/>
          <w:numId w:val="15"/>
        </w:numPr>
        <w:spacing w:before="120" w:after="120"/>
        <w:ind w:right="12"/>
        <w:jc w:val="both"/>
        <w:rPr>
          <w:rFonts w:asciiTheme="minorHAnsi" w:hAnsiTheme="minorHAnsi"/>
          <w:sz w:val="24"/>
        </w:rPr>
      </w:pPr>
      <w:r w:rsidRPr="00282BFE">
        <w:rPr>
          <w:rFonts w:asciiTheme="minorHAnsi" w:hAnsiTheme="minorHAnsi"/>
          <w:sz w:val="24"/>
        </w:rPr>
        <w:t>The proposal should address how differential tuition will substantially increase the quality of the learning experience for students and provide the basis for later opportunities that would not be possible without the differential revenues.</w:t>
      </w:r>
    </w:p>
    <w:p w14:paraId="37ADC75C" w14:textId="77777777" w:rsidR="00EB06D9" w:rsidRPr="00282BFE" w:rsidRDefault="00EB06D9" w:rsidP="00EB06D9">
      <w:pPr>
        <w:keepNext/>
        <w:keepLines/>
        <w:numPr>
          <w:ilvl w:val="1"/>
          <w:numId w:val="15"/>
        </w:numPr>
        <w:spacing w:before="120" w:after="120"/>
        <w:ind w:right="14"/>
        <w:jc w:val="both"/>
        <w:rPr>
          <w:rFonts w:asciiTheme="minorHAnsi" w:hAnsiTheme="minorHAnsi"/>
          <w:sz w:val="24"/>
        </w:rPr>
      </w:pPr>
      <w:r w:rsidRPr="00282BFE">
        <w:rPr>
          <w:rFonts w:asciiTheme="minorHAnsi" w:hAnsiTheme="minorHAnsi"/>
          <w:sz w:val="24"/>
        </w:rPr>
        <w:t xml:space="preserve">Access, affordability and student choice of </w:t>
      </w:r>
      <w:r>
        <w:rPr>
          <w:rFonts w:asciiTheme="minorHAnsi" w:hAnsiTheme="minorHAnsi"/>
          <w:sz w:val="24"/>
        </w:rPr>
        <w:t>undergraduate</w:t>
      </w:r>
      <w:r w:rsidRPr="00282BFE">
        <w:rPr>
          <w:rFonts w:asciiTheme="minorHAnsi" w:hAnsiTheme="minorHAnsi"/>
          <w:sz w:val="24"/>
        </w:rPr>
        <w:t xml:space="preserve"> major:</w:t>
      </w:r>
    </w:p>
    <w:p w14:paraId="20C5D83C" w14:textId="77777777" w:rsidR="00EB06D9" w:rsidRPr="00282BFE" w:rsidRDefault="00EB06D9" w:rsidP="00EB06D9">
      <w:pPr>
        <w:keepNext/>
        <w:keepLines/>
        <w:numPr>
          <w:ilvl w:val="2"/>
          <w:numId w:val="15"/>
        </w:numPr>
        <w:spacing w:before="120" w:after="120"/>
        <w:ind w:right="14"/>
        <w:jc w:val="both"/>
        <w:rPr>
          <w:rFonts w:asciiTheme="minorHAnsi" w:hAnsiTheme="minorHAnsi"/>
          <w:sz w:val="24"/>
        </w:rPr>
      </w:pPr>
      <w:r w:rsidRPr="00282BFE">
        <w:rPr>
          <w:rFonts w:asciiTheme="minorHAnsi" w:hAnsiTheme="minorHAnsi"/>
          <w:sz w:val="24"/>
        </w:rPr>
        <w:t xml:space="preserve">The proposal for differential tuition for </w:t>
      </w:r>
      <w:r>
        <w:rPr>
          <w:rFonts w:asciiTheme="minorHAnsi" w:hAnsiTheme="minorHAnsi"/>
          <w:sz w:val="24"/>
        </w:rPr>
        <w:t>undergraduate</w:t>
      </w:r>
      <w:r w:rsidRPr="00282BFE">
        <w:rPr>
          <w:rFonts w:asciiTheme="minorHAnsi" w:hAnsiTheme="minorHAnsi"/>
          <w:sz w:val="24"/>
        </w:rPr>
        <w:t xml:space="preserve"> programs must include a financial aid plan with a minimum of ten percent (10%) of the differential tuition set aside for need-based aid to be awarded to needy students enrolled in the program. The plan shall also include a college advising process that enables the student to anticipate future cost increases and (if necessary) seek additional aid to cover the differential amount over base tuition.</w:t>
      </w:r>
    </w:p>
    <w:p w14:paraId="61053808" w14:textId="77777777" w:rsidR="00EB06D9" w:rsidRPr="00282BFE" w:rsidRDefault="00EB06D9" w:rsidP="00EB06D9">
      <w:pPr>
        <w:keepNext/>
        <w:keepLines/>
        <w:numPr>
          <w:ilvl w:val="1"/>
          <w:numId w:val="15"/>
        </w:numPr>
        <w:spacing w:before="120" w:after="120"/>
        <w:ind w:right="14"/>
        <w:jc w:val="both"/>
        <w:rPr>
          <w:rFonts w:asciiTheme="minorHAnsi" w:hAnsiTheme="minorHAnsi"/>
          <w:sz w:val="24"/>
        </w:rPr>
      </w:pPr>
      <w:r w:rsidRPr="00282BFE">
        <w:rPr>
          <w:rFonts w:asciiTheme="minorHAnsi" w:hAnsiTheme="minorHAnsi"/>
          <w:sz w:val="24"/>
        </w:rPr>
        <w:t>Cost of Instruction:</w:t>
      </w:r>
    </w:p>
    <w:p w14:paraId="20437AA0" w14:textId="77777777" w:rsidR="00EB06D9" w:rsidRPr="00282BFE" w:rsidRDefault="00EB06D9" w:rsidP="00EB06D9">
      <w:pPr>
        <w:keepNext/>
        <w:keepLines/>
        <w:numPr>
          <w:ilvl w:val="2"/>
          <w:numId w:val="15"/>
        </w:numPr>
        <w:spacing w:before="120" w:after="120"/>
        <w:ind w:right="14"/>
        <w:jc w:val="both"/>
        <w:rPr>
          <w:rFonts w:asciiTheme="minorHAnsi" w:hAnsiTheme="minorHAnsi"/>
          <w:sz w:val="24"/>
        </w:rPr>
      </w:pPr>
      <w:r w:rsidRPr="00282BFE">
        <w:rPr>
          <w:rFonts w:asciiTheme="minorHAnsi" w:hAnsiTheme="minorHAnsi"/>
          <w:sz w:val="24"/>
        </w:rPr>
        <w:t>The differential tuition proposal must include a clear justification related to the variance in program cost, program demand</w:t>
      </w:r>
      <w:r>
        <w:rPr>
          <w:rFonts w:asciiTheme="minorHAnsi" w:hAnsiTheme="minorHAnsi"/>
          <w:sz w:val="24"/>
        </w:rPr>
        <w:t>,</w:t>
      </w:r>
      <w:r w:rsidRPr="00282BFE">
        <w:rPr>
          <w:rFonts w:asciiTheme="minorHAnsi" w:hAnsiTheme="minorHAnsi"/>
          <w:sz w:val="24"/>
        </w:rPr>
        <w:t xml:space="preserve"> and program graduate earnings potential compared to the funds that would be provided through base tuition.</w:t>
      </w:r>
    </w:p>
    <w:p w14:paraId="57C41F4B" w14:textId="77777777" w:rsidR="00EB06D9" w:rsidRPr="00282BFE" w:rsidRDefault="00EB06D9" w:rsidP="00EB06D9">
      <w:pPr>
        <w:numPr>
          <w:ilvl w:val="1"/>
          <w:numId w:val="15"/>
        </w:numPr>
        <w:spacing w:before="120" w:after="120"/>
        <w:ind w:right="12"/>
        <w:jc w:val="both"/>
        <w:rPr>
          <w:rFonts w:asciiTheme="minorHAnsi" w:hAnsiTheme="minorHAnsi"/>
          <w:sz w:val="24"/>
        </w:rPr>
      </w:pPr>
      <w:r w:rsidRPr="00282BFE">
        <w:rPr>
          <w:rFonts w:asciiTheme="minorHAnsi" w:hAnsiTheme="minorHAnsi"/>
          <w:sz w:val="24"/>
        </w:rPr>
        <w:t>Market Pricing:</w:t>
      </w:r>
    </w:p>
    <w:p w14:paraId="19F171EA" w14:textId="77777777" w:rsidR="00EB06D9" w:rsidRPr="00282BFE" w:rsidRDefault="00EB06D9" w:rsidP="00EB06D9">
      <w:pPr>
        <w:numPr>
          <w:ilvl w:val="2"/>
          <w:numId w:val="15"/>
        </w:numPr>
        <w:spacing w:before="120" w:after="120"/>
        <w:ind w:right="12"/>
        <w:jc w:val="both"/>
        <w:rPr>
          <w:rFonts w:asciiTheme="minorHAnsi" w:hAnsiTheme="minorHAnsi"/>
          <w:sz w:val="24"/>
        </w:rPr>
      </w:pPr>
      <w:r w:rsidRPr="00282BFE">
        <w:rPr>
          <w:rFonts w:asciiTheme="minorHAnsi" w:hAnsiTheme="minorHAnsi"/>
          <w:sz w:val="24"/>
        </w:rPr>
        <w:t xml:space="preserve">There should be evidence that the differential tuition proposed is comparable to the student cost for similar programs at peer institutions such that the university is not placed at a competitive disadvantage in attracting the best students and that the differential </w:t>
      </w:r>
      <w:r w:rsidRPr="00282BFE">
        <w:rPr>
          <w:rFonts w:asciiTheme="minorHAnsi" w:hAnsiTheme="minorHAnsi"/>
          <w:sz w:val="24"/>
        </w:rPr>
        <w:lastRenderedPageBreak/>
        <w:t>tuition is appropriate to the national market. The proposal should address the elasticity of demand in its justification.</w:t>
      </w:r>
    </w:p>
    <w:p w14:paraId="5EABE689" w14:textId="77777777" w:rsidR="00EB06D9" w:rsidRPr="00282BFE" w:rsidRDefault="00EB06D9" w:rsidP="00EB06D9">
      <w:pPr>
        <w:numPr>
          <w:ilvl w:val="1"/>
          <w:numId w:val="15"/>
        </w:numPr>
        <w:spacing w:before="120" w:after="120"/>
        <w:ind w:right="12"/>
        <w:jc w:val="both"/>
        <w:rPr>
          <w:rFonts w:asciiTheme="minorHAnsi" w:hAnsiTheme="minorHAnsi"/>
          <w:sz w:val="24"/>
        </w:rPr>
      </w:pPr>
      <w:r w:rsidRPr="00282BFE">
        <w:rPr>
          <w:rFonts w:asciiTheme="minorHAnsi" w:hAnsiTheme="minorHAnsi"/>
          <w:sz w:val="24"/>
        </w:rPr>
        <w:t>Student Consultation and Support:</w:t>
      </w:r>
    </w:p>
    <w:p w14:paraId="03B80F62" w14:textId="77777777" w:rsidR="00EB06D9" w:rsidRPr="00282BFE" w:rsidRDefault="00EB06D9" w:rsidP="00EB06D9">
      <w:pPr>
        <w:numPr>
          <w:ilvl w:val="2"/>
          <w:numId w:val="15"/>
        </w:numPr>
        <w:spacing w:before="120" w:after="120"/>
        <w:ind w:right="12"/>
        <w:jc w:val="both"/>
        <w:rPr>
          <w:rFonts w:asciiTheme="minorHAnsi" w:hAnsiTheme="minorHAnsi"/>
          <w:sz w:val="24"/>
        </w:rPr>
      </w:pPr>
      <w:r w:rsidRPr="00282BFE">
        <w:rPr>
          <w:rFonts w:asciiTheme="minorHAnsi" w:hAnsiTheme="minorHAnsi"/>
          <w:sz w:val="24"/>
        </w:rPr>
        <w:t>All differential tuition plans must show evidence of extensive and thorough consultation with students who will be affected, both via student representative groups and via organized opinion gathering among the students that would be charged the differential.</w:t>
      </w:r>
      <w:bookmarkStart w:id="80" w:name="Student_Governance_Policy"/>
      <w:bookmarkStart w:id="81" w:name="_Toc291078513"/>
      <w:bookmarkStart w:id="82" w:name="_Toc291078953"/>
      <w:bookmarkStart w:id="83" w:name="_Toc291079501"/>
      <w:bookmarkEnd w:id="80"/>
    </w:p>
    <w:p w14:paraId="4732CE82" w14:textId="77777777" w:rsidR="00EB06D9" w:rsidRDefault="00EB06D9" w:rsidP="00EB06D9">
      <w:pPr>
        <w:pStyle w:val="TOC1"/>
        <w:spacing w:after="120"/>
      </w:pPr>
    </w:p>
    <w:p w14:paraId="44023FC3" w14:textId="77777777" w:rsidR="00EB06D9" w:rsidRDefault="00EB06D9" w:rsidP="00EB06D9">
      <w:pPr>
        <w:pStyle w:val="Heading2"/>
        <w:spacing w:before="240" w:after="120"/>
        <w:jc w:val="center"/>
      </w:pPr>
      <w:bookmarkStart w:id="84" w:name="_Student_Shared_Governance"/>
      <w:bookmarkStart w:id="85" w:name="_Ref322347078"/>
      <w:bookmarkStart w:id="86" w:name="_Ref322347086"/>
      <w:bookmarkStart w:id="87" w:name="_Ref322347112"/>
      <w:bookmarkStart w:id="88" w:name="_Toc322438384"/>
      <w:bookmarkStart w:id="89" w:name="_Toc322440171"/>
      <w:bookmarkStart w:id="90" w:name="_Toc322440254"/>
      <w:bookmarkStart w:id="91" w:name="_Toc421521590"/>
      <w:bookmarkEnd w:id="84"/>
      <w:r w:rsidRPr="00E1624B">
        <w:t>Student Shared Governance Policy</w:t>
      </w:r>
      <w:bookmarkEnd w:id="81"/>
      <w:bookmarkEnd w:id="82"/>
      <w:bookmarkEnd w:id="83"/>
      <w:bookmarkEnd w:id="85"/>
      <w:bookmarkEnd w:id="86"/>
      <w:bookmarkEnd w:id="87"/>
      <w:bookmarkEnd w:id="88"/>
      <w:bookmarkEnd w:id="89"/>
      <w:bookmarkEnd w:id="90"/>
      <w:bookmarkEnd w:id="91"/>
    </w:p>
    <w:p w14:paraId="2554E845" w14:textId="7097A839" w:rsidR="000D2D52" w:rsidRPr="00C811FA" w:rsidRDefault="00F235AE" w:rsidP="00F31EF8">
      <w:pPr>
        <w:pStyle w:val="TOC2"/>
      </w:pPr>
      <w:r>
        <w:t>*</w:t>
      </w:r>
      <w:r w:rsidR="000D2D52">
        <w:t xml:space="preserve">Board </w:t>
      </w:r>
      <w:r>
        <w:t xml:space="preserve">also </w:t>
      </w:r>
      <w:r w:rsidR="000D2D52">
        <w:t>has Shared Government Policies</w:t>
      </w:r>
    </w:p>
    <w:p w14:paraId="455F5D08" w14:textId="77777777" w:rsidR="00EB06D9" w:rsidRPr="00282BFE" w:rsidRDefault="00EB06D9" w:rsidP="00EB06D9">
      <w:pPr>
        <w:spacing w:before="120" w:after="120"/>
        <w:ind w:right="12"/>
        <w:jc w:val="both"/>
        <w:rPr>
          <w:rFonts w:asciiTheme="minorHAnsi" w:hAnsiTheme="minorHAnsi"/>
          <w:sz w:val="24"/>
          <w:u w:val="single"/>
        </w:rPr>
      </w:pPr>
      <w:r w:rsidRPr="00282BFE">
        <w:rPr>
          <w:rFonts w:asciiTheme="minorHAnsi" w:hAnsiTheme="minorHAnsi"/>
          <w:sz w:val="24"/>
          <w:u w:val="single"/>
        </w:rPr>
        <w:t>Policy and Guidelines</w:t>
      </w:r>
    </w:p>
    <w:p w14:paraId="7680DE0F" w14:textId="77777777" w:rsidR="00EB06D9" w:rsidRPr="00282BFE" w:rsidRDefault="00EB06D9" w:rsidP="00EB06D9">
      <w:pPr>
        <w:numPr>
          <w:ilvl w:val="0"/>
          <w:numId w:val="11"/>
        </w:numPr>
        <w:spacing w:before="120" w:after="120"/>
        <w:ind w:right="12"/>
        <w:jc w:val="both"/>
        <w:rPr>
          <w:rFonts w:asciiTheme="minorHAnsi" w:hAnsiTheme="minorHAnsi"/>
          <w:sz w:val="24"/>
        </w:rPr>
      </w:pPr>
      <w:r w:rsidRPr="00282BFE">
        <w:rPr>
          <w:rFonts w:asciiTheme="minorHAnsi" w:hAnsiTheme="minorHAnsi"/>
          <w:sz w:val="24"/>
        </w:rPr>
        <w:t>PURPOSE</w:t>
      </w:r>
    </w:p>
    <w:p w14:paraId="48D3E3B4" w14:textId="77777777" w:rsidR="00EB06D9" w:rsidRPr="00282BFE" w:rsidRDefault="00EB06D9" w:rsidP="00EB06D9">
      <w:pPr>
        <w:pStyle w:val="BodyTextIndent"/>
        <w:spacing w:before="120" w:after="120"/>
        <w:ind w:left="900" w:right="12"/>
        <w:rPr>
          <w:rFonts w:asciiTheme="minorHAnsi" w:hAnsiTheme="minorHAnsi" w:cs="Arial"/>
        </w:rPr>
      </w:pPr>
      <w:r>
        <w:rPr>
          <w:rFonts w:asciiTheme="minorHAnsi" w:hAnsiTheme="minorHAnsi" w:cs="Arial"/>
        </w:rPr>
        <w:t xml:space="preserve">Oregon Institution of Technology </w:t>
      </w:r>
      <w:r w:rsidRPr="00282BFE">
        <w:rPr>
          <w:rFonts w:asciiTheme="minorHAnsi" w:hAnsiTheme="minorHAnsi" w:cs="Arial"/>
        </w:rPr>
        <w:t xml:space="preserve">hereby endorses the concept and philosophy of shared governance between </w:t>
      </w:r>
      <w:r>
        <w:rPr>
          <w:rFonts w:asciiTheme="minorHAnsi" w:hAnsiTheme="minorHAnsi" w:cs="Arial"/>
        </w:rPr>
        <w:t>Oregon Tech</w:t>
      </w:r>
      <w:r w:rsidRPr="00282BFE">
        <w:rPr>
          <w:rFonts w:asciiTheme="minorHAnsi" w:hAnsiTheme="minorHAnsi" w:cs="Arial"/>
        </w:rPr>
        <w:t xml:space="preserve"> and the students of </w:t>
      </w:r>
      <w:r>
        <w:rPr>
          <w:rFonts w:asciiTheme="minorHAnsi" w:hAnsiTheme="minorHAnsi" w:cs="Arial"/>
        </w:rPr>
        <w:t>Oregon Tech</w:t>
      </w:r>
      <w:r w:rsidRPr="00282BFE">
        <w:rPr>
          <w:rFonts w:asciiTheme="minorHAnsi" w:hAnsiTheme="minorHAnsi" w:cs="Arial"/>
        </w:rPr>
        <w:t xml:space="preserve">. The following policy statement provides a framework and principles to guide </w:t>
      </w:r>
      <w:r>
        <w:rPr>
          <w:rFonts w:asciiTheme="minorHAnsi" w:hAnsiTheme="minorHAnsi" w:cs="Arial"/>
        </w:rPr>
        <w:t>the</w:t>
      </w:r>
      <w:r w:rsidRPr="00282BFE">
        <w:rPr>
          <w:rFonts w:asciiTheme="minorHAnsi" w:hAnsiTheme="minorHAnsi" w:cs="Arial"/>
        </w:rPr>
        <w:t xml:space="preserve"> enactment of a campus-specific policy that sets forth the appl</w:t>
      </w:r>
      <w:r>
        <w:rPr>
          <w:rFonts w:asciiTheme="minorHAnsi" w:hAnsiTheme="minorHAnsi" w:cs="Arial"/>
        </w:rPr>
        <w:t>ication of this principle to the</w:t>
      </w:r>
      <w:r w:rsidRPr="00282BFE">
        <w:rPr>
          <w:rFonts w:asciiTheme="minorHAnsi" w:hAnsiTheme="minorHAnsi" w:cs="Arial"/>
        </w:rPr>
        <w:t xml:space="preserve"> governance structure.</w:t>
      </w:r>
    </w:p>
    <w:p w14:paraId="03D34CC8" w14:textId="77777777" w:rsidR="00EB06D9" w:rsidRPr="00282BFE" w:rsidRDefault="00EB06D9" w:rsidP="00EB06D9">
      <w:pPr>
        <w:numPr>
          <w:ilvl w:val="0"/>
          <w:numId w:val="11"/>
        </w:numPr>
        <w:spacing w:before="120" w:after="120"/>
        <w:ind w:right="12"/>
        <w:jc w:val="both"/>
        <w:rPr>
          <w:rFonts w:asciiTheme="minorHAnsi" w:hAnsiTheme="minorHAnsi"/>
          <w:sz w:val="24"/>
        </w:rPr>
      </w:pPr>
      <w:r w:rsidRPr="00282BFE">
        <w:rPr>
          <w:rFonts w:asciiTheme="minorHAnsi" w:hAnsiTheme="minorHAnsi"/>
          <w:sz w:val="24"/>
        </w:rPr>
        <w:t>OBJECTIVES</w:t>
      </w:r>
    </w:p>
    <w:p w14:paraId="5C3546B5" w14:textId="77777777" w:rsidR="00EB06D9" w:rsidRPr="00282BFE" w:rsidRDefault="00EB06D9" w:rsidP="00EB06D9">
      <w:pPr>
        <w:numPr>
          <w:ilvl w:val="1"/>
          <w:numId w:val="11"/>
        </w:numPr>
        <w:spacing w:before="120" w:after="120"/>
        <w:ind w:right="12"/>
        <w:jc w:val="both"/>
        <w:rPr>
          <w:rFonts w:asciiTheme="minorHAnsi" w:hAnsiTheme="minorHAnsi"/>
          <w:sz w:val="24"/>
        </w:rPr>
      </w:pPr>
      <w:r w:rsidRPr="00282BFE">
        <w:rPr>
          <w:rFonts w:asciiTheme="minorHAnsi" w:hAnsiTheme="minorHAnsi"/>
          <w:sz w:val="24"/>
        </w:rPr>
        <w:t>To recognize the value and importance of assuring students a voice in the educational process, particularly with respect to student life, services, and interests.</w:t>
      </w:r>
    </w:p>
    <w:p w14:paraId="02E6747C" w14:textId="77777777" w:rsidR="00EB06D9" w:rsidRPr="00282BFE" w:rsidRDefault="00EB06D9" w:rsidP="00EB06D9">
      <w:pPr>
        <w:numPr>
          <w:ilvl w:val="1"/>
          <w:numId w:val="11"/>
        </w:numPr>
        <w:spacing w:before="120" w:after="120"/>
        <w:ind w:right="12"/>
        <w:jc w:val="both"/>
        <w:rPr>
          <w:rFonts w:asciiTheme="minorHAnsi" w:hAnsiTheme="minorHAnsi"/>
          <w:sz w:val="24"/>
        </w:rPr>
      </w:pPr>
      <w:r w:rsidRPr="00282BFE">
        <w:rPr>
          <w:rFonts w:asciiTheme="minorHAnsi" w:hAnsiTheme="minorHAnsi"/>
          <w:sz w:val="24"/>
        </w:rPr>
        <w:t>To recognize students’ rights to organize themselves and to select and recommend student representatives to a university governance structure.</w:t>
      </w:r>
    </w:p>
    <w:p w14:paraId="5E0F6DA5" w14:textId="77777777" w:rsidR="00EB06D9" w:rsidRPr="00282BFE" w:rsidRDefault="00EB06D9" w:rsidP="00EB06D9">
      <w:pPr>
        <w:numPr>
          <w:ilvl w:val="1"/>
          <w:numId w:val="11"/>
        </w:numPr>
        <w:spacing w:before="120" w:after="120"/>
        <w:ind w:right="12"/>
        <w:jc w:val="both"/>
        <w:rPr>
          <w:rFonts w:asciiTheme="minorHAnsi" w:hAnsiTheme="minorHAnsi"/>
          <w:sz w:val="24"/>
        </w:rPr>
      </w:pPr>
      <w:r w:rsidRPr="00282BFE">
        <w:rPr>
          <w:rFonts w:asciiTheme="minorHAnsi" w:hAnsiTheme="minorHAnsi"/>
          <w:sz w:val="24"/>
        </w:rPr>
        <w:t>To encourage and facilitate student involvement in university decision-making.</w:t>
      </w:r>
    </w:p>
    <w:p w14:paraId="10EE406B" w14:textId="77777777" w:rsidR="00EB06D9" w:rsidRPr="00282BFE" w:rsidRDefault="00EB06D9" w:rsidP="00EB06D9">
      <w:pPr>
        <w:numPr>
          <w:ilvl w:val="0"/>
          <w:numId w:val="11"/>
        </w:numPr>
        <w:spacing w:before="120" w:after="120"/>
        <w:ind w:right="12"/>
        <w:jc w:val="both"/>
        <w:rPr>
          <w:rFonts w:asciiTheme="minorHAnsi" w:hAnsiTheme="minorHAnsi"/>
          <w:sz w:val="24"/>
        </w:rPr>
      </w:pPr>
      <w:r>
        <w:rPr>
          <w:rFonts w:asciiTheme="minorHAnsi" w:hAnsiTheme="minorHAnsi"/>
          <w:sz w:val="24"/>
        </w:rPr>
        <w:t>PRINCIPLES</w:t>
      </w:r>
    </w:p>
    <w:p w14:paraId="1F29FB73" w14:textId="77777777" w:rsidR="00EB06D9" w:rsidRPr="00282BFE" w:rsidRDefault="00EB06D9" w:rsidP="00EB06D9">
      <w:pPr>
        <w:spacing w:before="120" w:after="120"/>
        <w:ind w:left="1440" w:right="12" w:hanging="480"/>
        <w:jc w:val="both"/>
        <w:rPr>
          <w:rFonts w:asciiTheme="minorHAnsi" w:hAnsiTheme="minorHAnsi"/>
          <w:sz w:val="24"/>
        </w:rPr>
      </w:pPr>
      <w:r w:rsidRPr="00282BFE">
        <w:rPr>
          <w:rFonts w:asciiTheme="minorHAnsi" w:hAnsiTheme="minorHAnsi"/>
          <w:sz w:val="24"/>
        </w:rPr>
        <w:t>A.</w:t>
      </w:r>
      <w:r w:rsidRPr="00282BFE">
        <w:rPr>
          <w:rFonts w:asciiTheme="minorHAnsi" w:hAnsiTheme="minorHAnsi"/>
          <w:sz w:val="24"/>
        </w:rPr>
        <w:tab/>
        <w:t xml:space="preserve">Ultimate authority for the welfare of </w:t>
      </w:r>
      <w:r>
        <w:rPr>
          <w:rFonts w:asciiTheme="minorHAnsi" w:hAnsiTheme="minorHAnsi"/>
          <w:sz w:val="24"/>
        </w:rPr>
        <w:t>Oregon Tech</w:t>
      </w:r>
      <w:r w:rsidRPr="00282BFE">
        <w:rPr>
          <w:rFonts w:asciiTheme="minorHAnsi" w:hAnsiTheme="minorHAnsi"/>
          <w:sz w:val="24"/>
        </w:rPr>
        <w:t xml:space="preserve"> resides with the Oregon </w:t>
      </w:r>
      <w:r>
        <w:rPr>
          <w:rFonts w:asciiTheme="minorHAnsi" w:hAnsiTheme="minorHAnsi"/>
          <w:sz w:val="24"/>
        </w:rPr>
        <w:t>Tech Board of Trustees</w:t>
      </w:r>
      <w:r w:rsidRPr="00282BFE">
        <w:rPr>
          <w:rFonts w:asciiTheme="minorHAnsi" w:hAnsiTheme="minorHAnsi"/>
          <w:sz w:val="24"/>
        </w:rPr>
        <w:t>.</w:t>
      </w:r>
      <w:r>
        <w:rPr>
          <w:rFonts w:asciiTheme="minorHAnsi" w:hAnsiTheme="minorHAnsi"/>
          <w:sz w:val="24"/>
        </w:rPr>
        <w:t xml:space="preserve"> </w:t>
      </w:r>
      <w:r w:rsidRPr="00282BFE">
        <w:rPr>
          <w:rFonts w:asciiTheme="minorHAnsi" w:hAnsiTheme="minorHAnsi"/>
          <w:sz w:val="24"/>
        </w:rPr>
        <w:t xml:space="preserve"> The Board has delegated (and may further delegate) aspects of that authority to the </w:t>
      </w:r>
      <w:r>
        <w:rPr>
          <w:rFonts w:asciiTheme="minorHAnsi" w:hAnsiTheme="minorHAnsi"/>
          <w:sz w:val="24"/>
        </w:rPr>
        <w:t>President</w:t>
      </w:r>
      <w:r w:rsidRPr="00282BFE">
        <w:rPr>
          <w:rFonts w:asciiTheme="minorHAnsi" w:hAnsiTheme="minorHAnsi"/>
          <w:sz w:val="24"/>
        </w:rPr>
        <w:t xml:space="preserve"> to assure efficient management of the </w:t>
      </w:r>
      <w:r>
        <w:rPr>
          <w:rFonts w:asciiTheme="minorHAnsi" w:hAnsiTheme="minorHAnsi"/>
          <w:sz w:val="24"/>
        </w:rPr>
        <w:t>University</w:t>
      </w:r>
      <w:r w:rsidRPr="00282BFE">
        <w:rPr>
          <w:rFonts w:asciiTheme="minorHAnsi" w:hAnsiTheme="minorHAnsi"/>
          <w:sz w:val="24"/>
        </w:rPr>
        <w:t xml:space="preserve">. </w:t>
      </w:r>
    </w:p>
    <w:p w14:paraId="28A0358F" w14:textId="77777777" w:rsidR="00EB06D9" w:rsidRPr="00566041" w:rsidRDefault="00EB06D9" w:rsidP="00EB06D9">
      <w:pPr>
        <w:numPr>
          <w:ilvl w:val="0"/>
          <w:numId w:val="12"/>
        </w:numPr>
        <w:spacing w:before="120" w:after="120"/>
        <w:ind w:right="14" w:hanging="480"/>
        <w:jc w:val="both"/>
        <w:rPr>
          <w:rFonts w:asciiTheme="minorHAnsi" w:hAnsiTheme="minorHAnsi"/>
          <w:sz w:val="24"/>
        </w:rPr>
      </w:pPr>
      <w:r w:rsidRPr="00282BFE">
        <w:rPr>
          <w:rFonts w:asciiTheme="minorHAnsi" w:hAnsiTheme="minorHAnsi"/>
          <w:sz w:val="24"/>
        </w:rPr>
        <w:t xml:space="preserve">Many aspects of shared governance with the faculties of </w:t>
      </w:r>
      <w:r>
        <w:rPr>
          <w:rFonts w:asciiTheme="minorHAnsi" w:hAnsiTheme="minorHAnsi"/>
          <w:sz w:val="24"/>
        </w:rPr>
        <w:t>the Institution</w:t>
      </w:r>
      <w:r w:rsidRPr="00282BFE">
        <w:rPr>
          <w:rFonts w:asciiTheme="minorHAnsi" w:hAnsiTheme="minorHAnsi"/>
          <w:sz w:val="24"/>
        </w:rPr>
        <w:t xml:space="preserve"> have a long and successful history.</w:t>
      </w:r>
    </w:p>
    <w:p w14:paraId="25336D11" w14:textId="77777777" w:rsidR="00EB06D9" w:rsidRPr="00282BFE" w:rsidRDefault="00EB06D9" w:rsidP="00EB06D9">
      <w:pPr>
        <w:numPr>
          <w:ilvl w:val="0"/>
          <w:numId w:val="12"/>
        </w:numPr>
        <w:spacing w:before="120" w:after="120"/>
        <w:ind w:right="14" w:hanging="480"/>
        <w:jc w:val="both"/>
        <w:rPr>
          <w:rFonts w:asciiTheme="minorHAnsi" w:hAnsiTheme="minorHAnsi"/>
          <w:sz w:val="24"/>
        </w:rPr>
      </w:pPr>
      <w:r w:rsidRPr="00282BFE">
        <w:rPr>
          <w:rFonts w:asciiTheme="minorHAnsi" w:hAnsiTheme="minorHAnsi"/>
          <w:sz w:val="24"/>
        </w:rPr>
        <w:t xml:space="preserve">The intent of the current policy is to recognize the value of shared governance with the students of </w:t>
      </w:r>
      <w:r>
        <w:rPr>
          <w:rFonts w:asciiTheme="minorHAnsi" w:hAnsiTheme="minorHAnsi"/>
          <w:sz w:val="24"/>
        </w:rPr>
        <w:t>Oregon Tech</w:t>
      </w:r>
      <w:r w:rsidRPr="00282BFE">
        <w:rPr>
          <w:rFonts w:asciiTheme="minorHAnsi" w:hAnsiTheme="minorHAnsi"/>
          <w:sz w:val="24"/>
        </w:rPr>
        <w:t>.</w:t>
      </w:r>
    </w:p>
    <w:p w14:paraId="40EBEEE8" w14:textId="77777777" w:rsidR="00EB06D9" w:rsidRPr="00282BFE" w:rsidRDefault="00EB06D9" w:rsidP="00EB06D9">
      <w:pPr>
        <w:numPr>
          <w:ilvl w:val="0"/>
          <w:numId w:val="12"/>
        </w:numPr>
        <w:tabs>
          <w:tab w:val="clear" w:pos="1440"/>
        </w:tabs>
        <w:spacing w:before="120" w:after="120"/>
        <w:ind w:right="14" w:hanging="480"/>
        <w:jc w:val="both"/>
        <w:rPr>
          <w:rFonts w:asciiTheme="minorHAnsi" w:hAnsiTheme="minorHAnsi"/>
          <w:sz w:val="24"/>
        </w:rPr>
      </w:pPr>
      <w:r w:rsidRPr="00282BFE">
        <w:rPr>
          <w:rFonts w:asciiTheme="minorHAnsi" w:hAnsiTheme="minorHAnsi"/>
          <w:sz w:val="24"/>
        </w:rPr>
        <w:t xml:space="preserve">It is the intent of this policy to establish a state level of support for student shared governance. It shall be the responsibility </w:t>
      </w:r>
      <w:r>
        <w:rPr>
          <w:rFonts w:asciiTheme="minorHAnsi" w:hAnsiTheme="minorHAnsi"/>
          <w:sz w:val="24"/>
        </w:rPr>
        <w:t>of Oregon Tech</w:t>
      </w:r>
      <w:r w:rsidRPr="00282BFE">
        <w:rPr>
          <w:rFonts w:asciiTheme="minorHAnsi" w:hAnsiTheme="minorHAnsi"/>
          <w:sz w:val="24"/>
        </w:rPr>
        <w:t xml:space="preserve"> to identify the particular areas best suited for the application of this concept. Accordingly, students shall have the opportunity to participate, appropriate to their special knowledge and perspective, in decisions that relate to, but are not limited to:</w:t>
      </w:r>
    </w:p>
    <w:p w14:paraId="363909EE"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Academic grading policies</w:t>
      </w:r>
    </w:p>
    <w:p w14:paraId="453ECC86"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Academic disciplinary policies</w:t>
      </w:r>
    </w:p>
    <w:p w14:paraId="1538FB16"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Academic courses or programs to be initiated or discontinued</w:t>
      </w:r>
    </w:p>
    <w:p w14:paraId="46053CA1"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Codes of student conduct</w:t>
      </w:r>
    </w:p>
    <w:p w14:paraId="51F3CAD2"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Curriculum development</w:t>
      </w:r>
    </w:p>
    <w:p w14:paraId="10B8CE6E"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Institutional planning</w:t>
      </w:r>
    </w:p>
    <w:p w14:paraId="1CD41A45"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Selection and appointment of student services administrators</w:t>
      </w:r>
    </w:p>
    <w:p w14:paraId="10008769"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lastRenderedPageBreak/>
        <w:t>Tuition, fees, room and board rates</w:t>
      </w:r>
    </w:p>
    <w:p w14:paraId="7F577F6A" w14:textId="77777777" w:rsidR="00EB06D9" w:rsidRPr="00282BFE" w:rsidRDefault="00EB06D9" w:rsidP="00EB06D9">
      <w:pPr>
        <w:numPr>
          <w:ilvl w:val="2"/>
          <w:numId w:val="23"/>
        </w:numPr>
        <w:ind w:right="12"/>
        <w:jc w:val="both"/>
        <w:rPr>
          <w:rFonts w:asciiTheme="minorHAnsi" w:hAnsiTheme="minorHAnsi"/>
          <w:sz w:val="24"/>
        </w:rPr>
      </w:pPr>
      <w:r w:rsidRPr="00282BFE">
        <w:rPr>
          <w:rFonts w:asciiTheme="minorHAnsi" w:hAnsiTheme="minorHAnsi"/>
          <w:sz w:val="24"/>
        </w:rPr>
        <w:t>University mission and vision</w:t>
      </w:r>
    </w:p>
    <w:p w14:paraId="5ABFEF28" w14:textId="77777777" w:rsidR="00EB06D9" w:rsidRPr="00282BFE" w:rsidRDefault="00EB06D9" w:rsidP="00EB06D9">
      <w:pPr>
        <w:spacing w:before="120" w:after="120"/>
        <w:ind w:right="14" w:firstLine="720"/>
        <w:rPr>
          <w:rFonts w:asciiTheme="minorHAnsi" w:hAnsiTheme="minorHAnsi"/>
          <w:sz w:val="24"/>
        </w:rPr>
      </w:pPr>
      <w:r w:rsidRPr="00282BFE">
        <w:rPr>
          <w:rFonts w:asciiTheme="minorHAnsi" w:hAnsiTheme="minorHAnsi"/>
          <w:sz w:val="24"/>
        </w:rPr>
        <w:t>IV. IMPLEMENTATION</w:t>
      </w:r>
    </w:p>
    <w:p w14:paraId="1046AFDF" w14:textId="77777777" w:rsidR="00EB06D9" w:rsidRPr="00282BFE" w:rsidRDefault="00EB06D9" w:rsidP="00EB06D9">
      <w:pPr>
        <w:spacing w:before="120" w:after="120"/>
        <w:ind w:left="1440" w:right="14" w:hanging="480"/>
        <w:jc w:val="both"/>
        <w:rPr>
          <w:rFonts w:asciiTheme="minorHAnsi" w:hAnsiTheme="minorHAnsi"/>
          <w:sz w:val="24"/>
        </w:rPr>
      </w:pPr>
      <w:r w:rsidRPr="00282BFE">
        <w:rPr>
          <w:rFonts w:asciiTheme="minorHAnsi" w:hAnsiTheme="minorHAnsi"/>
          <w:sz w:val="24"/>
        </w:rPr>
        <w:t>A.</w:t>
      </w:r>
      <w:r w:rsidRPr="00282BFE">
        <w:rPr>
          <w:rFonts w:asciiTheme="minorHAnsi" w:hAnsiTheme="minorHAnsi"/>
          <w:sz w:val="24"/>
        </w:rPr>
        <w:tab/>
      </w:r>
      <w:r>
        <w:rPr>
          <w:rFonts w:asciiTheme="minorHAnsi" w:hAnsiTheme="minorHAnsi"/>
          <w:sz w:val="24"/>
        </w:rPr>
        <w:t>Oregon Tech</w:t>
      </w:r>
      <w:r w:rsidRPr="00282BFE">
        <w:rPr>
          <w:rFonts w:asciiTheme="minorHAnsi" w:hAnsiTheme="minorHAnsi"/>
          <w:sz w:val="24"/>
        </w:rPr>
        <w:t xml:space="preserve"> shall develop written procedures to incorporate the principles of this Board policy.</w:t>
      </w:r>
    </w:p>
    <w:p w14:paraId="02D5A56E" w14:textId="77777777" w:rsidR="00EB06D9" w:rsidRPr="00282BFE" w:rsidRDefault="00EB06D9" w:rsidP="00EB06D9">
      <w:pPr>
        <w:pStyle w:val="BodyTextIndent3"/>
        <w:numPr>
          <w:ilvl w:val="0"/>
          <w:numId w:val="13"/>
        </w:numPr>
        <w:tabs>
          <w:tab w:val="clear" w:pos="1080"/>
          <w:tab w:val="num" w:pos="1440"/>
        </w:tabs>
        <w:spacing w:before="120"/>
        <w:ind w:left="1440" w:right="14" w:hanging="480"/>
        <w:jc w:val="both"/>
        <w:rPr>
          <w:rFonts w:asciiTheme="minorHAnsi" w:hAnsiTheme="minorHAnsi"/>
          <w:sz w:val="24"/>
          <w:szCs w:val="24"/>
        </w:rPr>
      </w:pPr>
      <w:r>
        <w:rPr>
          <w:rFonts w:asciiTheme="minorHAnsi" w:hAnsiTheme="minorHAnsi"/>
          <w:sz w:val="24"/>
          <w:szCs w:val="24"/>
        </w:rPr>
        <w:t>Oregon Tech</w:t>
      </w:r>
      <w:r w:rsidRPr="00282BFE">
        <w:rPr>
          <w:rFonts w:asciiTheme="minorHAnsi" w:hAnsiTheme="minorHAnsi"/>
          <w:sz w:val="24"/>
          <w:szCs w:val="24"/>
        </w:rPr>
        <w:t xml:space="preserve"> shall report the resulting procedures, evidence of implementation or, in the alternative, provide a report documenting how these principles of shared governance have already been incorporated into the institution’s governance structure. </w:t>
      </w:r>
    </w:p>
    <w:p w14:paraId="59380EE7" w14:textId="77777777" w:rsidR="00EB06D9" w:rsidRPr="00282BFE" w:rsidRDefault="00EB06D9" w:rsidP="00EB06D9">
      <w:pPr>
        <w:numPr>
          <w:ilvl w:val="0"/>
          <w:numId w:val="13"/>
        </w:numPr>
        <w:tabs>
          <w:tab w:val="clear" w:pos="1080"/>
        </w:tabs>
        <w:spacing w:before="120" w:after="120"/>
        <w:ind w:left="1440" w:right="14" w:hanging="480"/>
        <w:jc w:val="both"/>
        <w:rPr>
          <w:rFonts w:asciiTheme="minorHAnsi" w:hAnsiTheme="minorHAnsi"/>
          <w:sz w:val="24"/>
        </w:rPr>
      </w:pPr>
      <w:r w:rsidRPr="00282BFE">
        <w:rPr>
          <w:rFonts w:asciiTheme="minorHAnsi" w:hAnsiTheme="minorHAnsi"/>
          <w:sz w:val="24"/>
        </w:rPr>
        <w:t xml:space="preserve">In developing the institutional report referenced above, </w:t>
      </w:r>
      <w:r>
        <w:rPr>
          <w:rFonts w:asciiTheme="minorHAnsi" w:hAnsiTheme="minorHAnsi"/>
          <w:sz w:val="24"/>
        </w:rPr>
        <w:t>Oregon Tech</w:t>
      </w:r>
      <w:r w:rsidRPr="00282BFE">
        <w:rPr>
          <w:rFonts w:asciiTheme="minorHAnsi" w:hAnsiTheme="minorHAnsi"/>
          <w:sz w:val="24"/>
        </w:rPr>
        <w:t xml:space="preserve"> shall ensure appropriate input from and collaboration with the respective officially recognized student government association for that campus. For purposes of the report on student shared governance the respective recognized student government association shall be regarded as the appropriate liaison for student input.</w:t>
      </w:r>
    </w:p>
    <w:p w14:paraId="56A0989F" w14:textId="77777777" w:rsidR="00EB06D9" w:rsidRPr="00282BFE" w:rsidRDefault="00EB06D9" w:rsidP="00EB06D9">
      <w:pPr>
        <w:keepNext/>
        <w:keepLines/>
        <w:numPr>
          <w:ilvl w:val="0"/>
          <w:numId w:val="13"/>
        </w:numPr>
        <w:tabs>
          <w:tab w:val="clear" w:pos="1080"/>
        </w:tabs>
        <w:spacing w:before="120" w:after="120"/>
        <w:ind w:left="1440" w:right="14" w:hanging="475"/>
        <w:jc w:val="both"/>
        <w:rPr>
          <w:rFonts w:asciiTheme="minorHAnsi" w:hAnsiTheme="minorHAnsi"/>
          <w:sz w:val="24"/>
        </w:rPr>
      </w:pPr>
      <w:r w:rsidRPr="00282BFE">
        <w:rPr>
          <w:rFonts w:asciiTheme="minorHAnsi" w:hAnsiTheme="minorHAnsi"/>
          <w:sz w:val="24"/>
        </w:rPr>
        <w:t xml:space="preserve">The president </w:t>
      </w:r>
      <w:r>
        <w:rPr>
          <w:rFonts w:asciiTheme="minorHAnsi" w:hAnsiTheme="minorHAnsi"/>
          <w:sz w:val="24"/>
        </w:rPr>
        <w:t>is</w:t>
      </w:r>
      <w:r w:rsidRPr="00282BFE">
        <w:rPr>
          <w:rFonts w:asciiTheme="minorHAnsi" w:hAnsiTheme="minorHAnsi"/>
          <w:sz w:val="24"/>
        </w:rPr>
        <w:t xml:space="preserve"> charged with the responsibility of ensuring that the principles of shared governance with students are incorporated, where appropriate, throughout the university.</w:t>
      </w:r>
    </w:p>
    <w:p w14:paraId="6A0C0166" w14:textId="77777777" w:rsidR="00EB06D9" w:rsidRPr="00161CFE" w:rsidRDefault="00EB06D9" w:rsidP="00EB06D9">
      <w:pPr>
        <w:pStyle w:val="Heading2"/>
        <w:spacing w:before="240" w:after="120"/>
        <w:jc w:val="center"/>
      </w:pPr>
      <w:bookmarkStart w:id="92" w:name="_Toc421521591"/>
      <w:r w:rsidRPr="00161CFE">
        <w:t>Student Involvement in Development of Proposed Tuition Rates</w:t>
      </w:r>
      <w:bookmarkEnd w:id="92"/>
    </w:p>
    <w:p w14:paraId="699E86A3" w14:textId="4B042747" w:rsidR="00EB06D9" w:rsidRPr="00161CFE" w:rsidRDefault="00EB06D9" w:rsidP="00EB06D9">
      <w:pPr>
        <w:autoSpaceDE w:val="0"/>
        <w:autoSpaceDN w:val="0"/>
        <w:adjustRightInd w:val="0"/>
        <w:spacing w:before="120" w:after="120"/>
        <w:jc w:val="both"/>
        <w:rPr>
          <w:rFonts w:asciiTheme="minorHAnsi" w:hAnsiTheme="minorHAnsi"/>
          <w:i/>
          <w:iCs/>
          <w:sz w:val="24"/>
        </w:rPr>
      </w:pPr>
      <w:r w:rsidRPr="00161CFE">
        <w:rPr>
          <w:rFonts w:asciiTheme="minorHAnsi" w:hAnsiTheme="minorHAnsi"/>
          <w:sz w:val="24"/>
        </w:rPr>
        <w:t xml:space="preserve">In June 2012, the Oregon State Legislature passed Senate Bill </w:t>
      </w:r>
      <w:r w:rsidR="00163B2A" w:rsidRPr="00161CFE">
        <w:rPr>
          <w:rFonts w:asciiTheme="minorHAnsi" w:hAnsiTheme="minorHAnsi"/>
          <w:sz w:val="24"/>
        </w:rPr>
        <w:t>24</w:t>
      </w:r>
      <w:r w:rsidR="00163B2A">
        <w:rPr>
          <w:rFonts w:asciiTheme="minorHAnsi" w:hAnsiTheme="minorHAnsi"/>
          <w:sz w:val="24"/>
        </w:rPr>
        <w:t>2,</w:t>
      </w:r>
      <w:r w:rsidR="00163B2A" w:rsidRPr="00161CFE">
        <w:rPr>
          <w:rFonts w:asciiTheme="minorHAnsi" w:hAnsiTheme="minorHAnsi"/>
          <w:sz w:val="24"/>
        </w:rPr>
        <w:t xml:space="preserve"> which</w:t>
      </w:r>
      <w:r w:rsidRPr="00161CFE">
        <w:rPr>
          <w:rFonts w:asciiTheme="minorHAnsi" w:hAnsiTheme="minorHAnsi"/>
          <w:sz w:val="24"/>
        </w:rPr>
        <w:t xml:space="preserve"> effectively removed the Oregon University system from state agency status and established the OUS as a public university system. SB 242 also included stipulations which required the Board to establish a process that incorporated student participation in tuition-setting</w:t>
      </w:r>
      <w:r w:rsidR="00F235AE">
        <w:rPr>
          <w:rFonts w:asciiTheme="minorHAnsi" w:hAnsiTheme="minorHAnsi"/>
          <w:sz w:val="24"/>
        </w:rPr>
        <w:t xml:space="preserve">.  </w:t>
      </w:r>
      <w:r w:rsidRPr="00161CFE">
        <w:rPr>
          <w:rFonts w:asciiTheme="minorHAnsi" w:hAnsiTheme="minorHAnsi"/>
          <w:sz w:val="24"/>
        </w:rPr>
        <w:t xml:space="preserve">In response to the requirements of SB 242, the Board of Higher Education approved the following Oregon Administrative Rule on March 2, 2012. </w:t>
      </w:r>
    </w:p>
    <w:p w14:paraId="019FFA3A" w14:textId="3CFC5011" w:rsidR="00EB06D9" w:rsidRPr="00161CFE" w:rsidRDefault="007E1777" w:rsidP="00EB06D9">
      <w:pPr>
        <w:pStyle w:val="Heading6"/>
        <w:ind w:firstLine="720"/>
        <w:jc w:val="both"/>
        <w:rPr>
          <w:rFonts w:asciiTheme="minorHAnsi" w:hAnsiTheme="minorHAnsi" w:cs="Arial"/>
          <w:sz w:val="24"/>
          <w:szCs w:val="24"/>
        </w:rPr>
      </w:pPr>
      <w:bookmarkStart w:id="93" w:name="_Ref322347343"/>
      <w:r>
        <w:rPr>
          <w:rFonts w:asciiTheme="minorHAnsi" w:hAnsiTheme="minorHAnsi" w:cs="Arial"/>
          <w:sz w:val="24"/>
          <w:szCs w:val="24"/>
        </w:rPr>
        <w:t>University Policy</w:t>
      </w:r>
      <w:bookmarkEnd w:id="93"/>
      <w:r w:rsidR="00EB06D9" w:rsidRPr="00161CFE">
        <w:rPr>
          <w:rFonts w:asciiTheme="minorHAnsi" w:hAnsiTheme="minorHAnsi" w:cs="Arial"/>
          <w:sz w:val="24"/>
          <w:szCs w:val="24"/>
        </w:rPr>
        <w:t xml:space="preserve"> </w:t>
      </w:r>
    </w:p>
    <w:p w14:paraId="714F42D5" w14:textId="77777777" w:rsidR="00EB06D9" w:rsidRPr="00161CFE" w:rsidRDefault="00EB06D9" w:rsidP="00EB06D9">
      <w:pPr>
        <w:autoSpaceDE w:val="0"/>
        <w:autoSpaceDN w:val="0"/>
        <w:adjustRightInd w:val="0"/>
        <w:spacing w:after="120"/>
        <w:ind w:left="720"/>
        <w:jc w:val="both"/>
        <w:rPr>
          <w:rFonts w:asciiTheme="minorHAnsi" w:hAnsiTheme="minorHAnsi"/>
          <w:sz w:val="24"/>
        </w:rPr>
      </w:pPr>
      <w:r w:rsidRPr="00161CFE">
        <w:rPr>
          <w:rFonts w:asciiTheme="minorHAnsi" w:hAnsiTheme="minorHAnsi"/>
          <w:b/>
          <w:bCs/>
          <w:sz w:val="24"/>
        </w:rPr>
        <w:t xml:space="preserve">Student Involvement in Development of Proposed Resident Undergraduate Tuition Rates </w:t>
      </w:r>
    </w:p>
    <w:p w14:paraId="08C3D554" w14:textId="21292B3E" w:rsidR="00EB06D9" w:rsidRPr="00161CFE" w:rsidRDefault="00EB06D9" w:rsidP="00EB06D9">
      <w:pPr>
        <w:autoSpaceDE w:val="0"/>
        <w:autoSpaceDN w:val="0"/>
        <w:adjustRightInd w:val="0"/>
        <w:spacing w:after="120"/>
        <w:ind w:left="720"/>
        <w:jc w:val="both"/>
        <w:rPr>
          <w:rFonts w:asciiTheme="minorHAnsi" w:hAnsiTheme="minorHAnsi"/>
          <w:sz w:val="24"/>
        </w:rPr>
      </w:pPr>
      <w:r w:rsidRPr="00161CFE">
        <w:rPr>
          <w:rFonts w:asciiTheme="minorHAnsi" w:hAnsiTheme="minorHAnsi"/>
          <w:sz w:val="24"/>
        </w:rPr>
        <w:t>(1) The Board shall establish the tuition and fees to be assessed at each institution in accordance with applicable statutes and upon the recommendation of the institution president and the Chancellor. This section shall not impair the entities of student government or the Boar</w:t>
      </w:r>
      <w:r w:rsidR="00F235AE">
        <w:rPr>
          <w:rFonts w:asciiTheme="minorHAnsi" w:hAnsiTheme="minorHAnsi"/>
          <w:sz w:val="24"/>
        </w:rPr>
        <w:t>d.</w:t>
      </w:r>
    </w:p>
    <w:p w14:paraId="5BDB9E67" w14:textId="77777777" w:rsidR="00EB06D9" w:rsidRPr="00161CFE" w:rsidRDefault="00EB06D9" w:rsidP="00EB06D9">
      <w:pPr>
        <w:autoSpaceDE w:val="0"/>
        <w:autoSpaceDN w:val="0"/>
        <w:adjustRightInd w:val="0"/>
        <w:spacing w:after="120"/>
        <w:ind w:left="720"/>
        <w:jc w:val="both"/>
        <w:rPr>
          <w:rFonts w:asciiTheme="minorHAnsi" w:hAnsiTheme="minorHAnsi"/>
          <w:sz w:val="24"/>
        </w:rPr>
      </w:pPr>
      <w:r w:rsidRPr="00161CFE">
        <w:rPr>
          <w:rFonts w:asciiTheme="minorHAnsi" w:hAnsiTheme="minorHAnsi"/>
          <w:sz w:val="24"/>
        </w:rPr>
        <w:t xml:space="preserve">(2) Each institution will establish a process for student participation in the development of recommended rates for resident undergraduate tuition. The planned process will be communicated to the duly elected student government for discussion and input. </w:t>
      </w:r>
    </w:p>
    <w:p w14:paraId="1358B9AD" w14:textId="77777777" w:rsidR="00EB06D9" w:rsidRPr="00161CFE" w:rsidRDefault="00EB06D9" w:rsidP="00EB06D9">
      <w:pPr>
        <w:autoSpaceDE w:val="0"/>
        <w:autoSpaceDN w:val="0"/>
        <w:adjustRightInd w:val="0"/>
        <w:spacing w:after="120"/>
        <w:ind w:left="720"/>
        <w:jc w:val="both"/>
        <w:rPr>
          <w:rFonts w:asciiTheme="minorHAnsi" w:hAnsiTheme="minorHAnsi"/>
          <w:sz w:val="24"/>
        </w:rPr>
      </w:pPr>
      <w:r w:rsidRPr="00161CFE">
        <w:rPr>
          <w:rFonts w:asciiTheme="minorHAnsi" w:hAnsiTheme="minorHAnsi"/>
          <w:sz w:val="24"/>
        </w:rPr>
        <w:t xml:space="preserve">(3) Prior to the formal submission of proposed tuition rates to the Chancellor, or designee, the institution president, or designee, will provide an opportunity for the duly elected student government to consider and comment on the proposed rates. Efforts shall be made by both the appropriate student representatives and members of the university administration to accomplish this exchange in a timely manner that 1) provides for adequate student consideration and takes into account the academic calendar and 2) allows institutions to meet necessary deadlines for submission of proposals. </w:t>
      </w:r>
    </w:p>
    <w:p w14:paraId="4DD7D6AC" w14:textId="77777777" w:rsidR="00EB06D9" w:rsidRPr="00282BFE" w:rsidRDefault="00EB06D9" w:rsidP="00EB06D9">
      <w:pPr>
        <w:autoSpaceDE w:val="0"/>
        <w:autoSpaceDN w:val="0"/>
        <w:adjustRightInd w:val="0"/>
        <w:spacing w:after="120"/>
        <w:ind w:left="720"/>
        <w:jc w:val="both"/>
        <w:rPr>
          <w:rFonts w:asciiTheme="minorHAnsi" w:hAnsiTheme="minorHAnsi"/>
          <w:sz w:val="24"/>
        </w:rPr>
      </w:pPr>
      <w:r w:rsidRPr="00161CFE">
        <w:rPr>
          <w:rFonts w:asciiTheme="minorHAnsi" w:hAnsiTheme="minorHAnsi"/>
          <w:sz w:val="24"/>
        </w:rPr>
        <w:t>(4) As part of formally submitting rate proposals to the Chancellor, or designee, the institution president (or designee) will convey: 1) the process used by that institution to involve students in the development of recommended tuition rates and 2) the specific resident undergraduate tuition rates being proposed.</w:t>
      </w:r>
      <w:r w:rsidRPr="00282BFE">
        <w:rPr>
          <w:rFonts w:asciiTheme="minorHAnsi" w:hAnsiTheme="minorHAnsi"/>
          <w:sz w:val="24"/>
        </w:rPr>
        <w:t xml:space="preserve"> </w:t>
      </w:r>
    </w:p>
    <w:p w14:paraId="6C53607E" w14:textId="77777777" w:rsidR="00EB06D9" w:rsidRPr="00282BFE" w:rsidRDefault="00EB06D9" w:rsidP="00EB06D9">
      <w:pPr>
        <w:ind w:left="240" w:right="12"/>
        <w:jc w:val="both"/>
        <w:rPr>
          <w:rFonts w:asciiTheme="minorHAnsi" w:hAnsiTheme="minorHAnsi"/>
          <w:sz w:val="24"/>
        </w:rPr>
      </w:pPr>
    </w:p>
    <w:p w14:paraId="55A9C413" w14:textId="77777777" w:rsidR="00EB06D9" w:rsidRDefault="00EB06D9" w:rsidP="00EB06D9">
      <w:pPr>
        <w:ind w:right="12"/>
        <w:jc w:val="both"/>
        <w:rPr>
          <w:rFonts w:asciiTheme="minorHAnsi" w:hAnsiTheme="minorHAnsi"/>
          <w:sz w:val="24"/>
        </w:rPr>
      </w:pPr>
      <w:r w:rsidRPr="00282BFE">
        <w:rPr>
          <w:rFonts w:asciiTheme="minorHAnsi" w:hAnsiTheme="minorHAnsi"/>
          <w:sz w:val="24"/>
        </w:rPr>
        <w:br w:type="page"/>
      </w:r>
    </w:p>
    <w:p w14:paraId="6CD3E1F2" w14:textId="3A56C916" w:rsidR="009D6E84" w:rsidRPr="00282BFE" w:rsidRDefault="009D6E84" w:rsidP="002B0F3D">
      <w:pPr>
        <w:pStyle w:val="Heading2"/>
        <w:shd w:val="clear" w:color="auto" w:fill="DBE5F1" w:themeFill="accent1" w:themeFillTint="33"/>
        <w:jc w:val="center"/>
        <w:rPr>
          <w:lang w:val="en-US"/>
        </w:rPr>
      </w:pPr>
      <w:bookmarkStart w:id="94" w:name="_Tuition_and_Fee_2"/>
      <w:bookmarkStart w:id="95" w:name="_Toc421521610"/>
      <w:bookmarkEnd w:id="94"/>
      <w:r w:rsidRPr="00282BFE">
        <w:rPr>
          <w:lang w:val="en-US"/>
        </w:rPr>
        <w:lastRenderedPageBreak/>
        <w:t xml:space="preserve">Oregon </w:t>
      </w:r>
      <w:bookmarkEnd w:id="6"/>
      <w:bookmarkEnd w:id="7"/>
      <w:bookmarkEnd w:id="8"/>
      <w:r w:rsidR="000C70FA" w:rsidRPr="00282BFE">
        <w:rPr>
          <w:lang w:val="en-US"/>
        </w:rPr>
        <w:t>Tech</w:t>
      </w:r>
      <w:r w:rsidR="002A0AD3">
        <w:rPr>
          <w:lang w:val="en-US"/>
        </w:rPr>
        <w:t>–</w:t>
      </w:r>
      <w:r w:rsidR="006A11E5" w:rsidRPr="00282BFE">
        <w:rPr>
          <w:lang w:val="en-US"/>
        </w:rPr>
        <w:t>Klamath</w:t>
      </w:r>
      <w:r w:rsidR="005855AC" w:rsidRPr="00282BFE">
        <w:rPr>
          <w:lang w:val="en-US"/>
        </w:rPr>
        <w:t xml:space="preserve"> Falls</w:t>
      </w:r>
      <w:r w:rsidR="00122C0F">
        <w:rPr>
          <w:lang w:val="en-US"/>
        </w:rPr>
        <w:t xml:space="preserve"> – </w:t>
      </w:r>
      <w:r w:rsidR="00E6138E">
        <w:rPr>
          <w:lang w:val="en-US"/>
        </w:rPr>
        <w:t>201</w:t>
      </w:r>
      <w:r w:rsidR="00F235AE">
        <w:rPr>
          <w:lang w:val="en-US"/>
        </w:rPr>
        <w:t>7</w:t>
      </w:r>
      <w:r w:rsidR="00E6138E">
        <w:rPr>
          <w:lang w:val="en-US"/>
        </w:rPr>
        <w:t>-1</w:t>
      </w:r>
      <w:r w:rsidR="00F235AE">
        <w:rPr>
          <w:lang w:val="en-US"/>
        </w:rPr>
        <w:t>8</w:t>
      </w:r>
      <w:r w:rsidR="00122C0F">
        <w:rPr>
          <w:lang w:val="en-US"/>
        </w:rPr>
        <w:t xml:space="preserve"> Academic Year</w:t>
      </w:r>
      <w:bookmarkEnd w:id="95"/>
    </w:p>
    <w:p w14:paraId="178FE0FA" w14:textId="77777777" w:rsidR="009D6E84" w:rsidRPr="00282BFE" w:rsidRDefault="009D6E84" w:rsidP="00AB21B1">
      <w:pPr>
        <w:pStyle w:val="Heading3"/>
      </w:pPr>
      <w:bookmarkStart w:id="96" w:name="_Toc322438393"/>
      <w:bookmarkStart w:id="97" w:name="_Toc322440179"/>
      <w:bookmarkStart w:id="98" w:name="_Toc322440262"/>
      <w:bookmarkStart w:id="99" w:name="_Toc421521611"/>
      <w:r w:rsidRPr="00282BFE">
        <w:t>Base Tuition</w:t>
      </w:r>
      <w:bookmarkEnd w:id="96"/>
      <w:bookmarkEnd w:id="97"/>
      <w:bookmarkEnd w:id="98"/>
      <w:bookmarkEnd w:id="99"/>
      <w:r w:rsidRPr="00282BFE">
        <w:t xml:space="preserve"> </w:t>
      </w:r>
    </w:p>
    <w:p w14:paraId="05B68534" w14:textId="77777777" w:rsidR="009D6E84" w:rsidRPr="00282BFE" w:rsidRDefault="009D6E84" w:rsidP="00F65320">
      <w:pPr>
        <w:ind w:right="12"/>
        <w:jc w:val="center"/>
        <w:rPr>
          <w:rFonts w:asciiTheme="minorHAnsi" w:hAnsiTheme="minorHAnsi"/>
          <w:b/>
          <w:sz w:val="24"/>
        </w:rPr>
      </w:pPr>
      <w:r w:rsidRPr="00282BFE">
        <w:rPr>
          <w:rFonts w:asciiTheme="minorHAnsi" w:hAnsiTheme="minorHAnsi"/>
          <w:b/>
          <w:sz w:val="24"/>
        </w:rPr>
        <w:t>Per Term</w:t>
      </w:r>
    </w:p>
    <w:p w14:paraId="4620E013" w14:textId="77777777" w:rsidR="003D71BA" w:rsidRPr="00282BFE" w:rsidRDefault="003D71BA" w:rsidP="00F65320">
      <w:pPr>
        <w:ind w:right="12"/>
        <w:jc w:val="center"/>
        <w:rPr>
          <w:rFonts w:asciiTheme="minorHAnsi" w:hAnsiTheme="minorHAnsi"/>
          <w:b/>
          <w:color w:val="FF0000"/>
          <w:sz w:val="24"/>
        </w:rPr>
      </w:pPr>
    </w:p>
    <w:p w14:paraId="76411DFA" w14:textId="77777777" w:rsidR="003D71BA" w:rsidRDefault="003D71BA" w:rsidP="00997081">
      <w:pPr>
        <w:ind w:right="12"/>
        <w:jc w:val="both"/>
        <w:rPr>
          <w:rFonts w:asciiTheme="minorHAnsi" w:hAnsiTheme="minorHAnsi"/>
          <w:i/>
          <w:sz w:val="24"/>
        </w:rPr>
      </w:pPr>
      <w:r w:rsidRPr="00282BFE">
        <w:rPr>
          <w:rFonts w:asciiTheme="minorHAnsi" w:hAnsiTheme="minorHAnsi"/>
          <w:i/>
          <w:sz w:val="24"/>
        </w:rPr>
        <w:t xml:space="preserve">Data in this </w:t>
      </w:r>
      <w:r w:rsidR="00E90029" w:rsidRPr="00282BFE">
        <w:rPr>
          <w:rFonts w:asciiTheme="minorHAnsi" w:hAnsiTheme="minorHAnsi"/>
          <w:i/>
          <w:sz w:val="24"/>
        </w:rPr>
        <w:t>table represents</w:t>
      </w:r>
      <w:r w:rsidRPr="00282BFE">
        <w:rPr>
          <w:rFonts w:asciiTheme="minorHAnsi" w:hAnsiTheme="minorHAnsi"/>
          <w:i/>
          <w:sz w:val="24"/>
        </w:rPr>
        <w:t xml:space="preserve"> Tuition Costs only and does not include Mandatory Fees.</w:t>
      </w:r>
      <w:r w:rsidR="004C2D0B" w:rsidRPr="00282BFE">
        <w:rPr>
          <w:rFonts w:asciiTheme="minorHAnsi" w:hAnsiTheme="minorHAnsi"/>
          <w:i/>
          <w:sz w:val="24"/>
        </w:rPr>
        <w:t xml:space="preserve"> </w:t>
      </w:r>
      <w:r w:rsidRPr="00282BFE">
        <w:rPr>
          <w:rFonts w:asciiTheme="minorHAnsi" w:hAnsiTheme="minorHAnsi"/>
          <w:i/>
          <w:sz w:val="24"/>
        </w:rPr>
        <w:t>The Mandatory Fee information can be found in the Mandatory Fee Tables for this institution</w:t>
      </w:r>
      <w:r w:rsidR="003F5D16">
        <w:rPr>
          <w:rFonts w:asciiTheme="minorHAnsi" w:hAnsiTheme="minorHAnsi"/>
          <w:i/>
          <w:sz w:val="24"/>
        </w:rPr>
        <w:t>.</w:t>
      </w:r>
    </w:p>
    <w:p w14:paraId="3B28014C" w14:textId="77777777" w:rsidR="003F5D16" w:rsidRPr="00282BFE" w:rsidRDefault="003F5D16" w:rsidP="00997081">
      <w:pPr>
        <w:ind w:right="12"/>
        <w:jc w:val="both"/>
        <w:rPr>
          <w:rFonts w:asciiTheme="minorHAnsi" w:hAnsiTheme="minorHAnsi"/>
          <w:i/>
          <w:sz w:val="24"/>
        </w:rPr>
      </w:pPr>
    </w:p>
    <w:p w14:paraId="08C695A8" w14:textId="77777777" w:rsidR="006A11E5" w:rsidRDefault="006A11E5" w:rsidP="006A11E5">
      <w:pPr>
        <w:ind w:right="12"/>
        <w:jc w:val="center"/>
      </w:pPr>
    </w:p>
    <w:p w14:paraId="456807BA" w14:textId="77777777" w:rsidR="00846B0D" w:rsidRDefault="00846B0D" w:rsidP="006A11E5">
      <w:pPr>
        <w:ind w:right="12"/>
        <w:jc w:val="center"/>
      </w:pPr>
    </w:p>
    <w:p w14:paraId="42FD3F2A" w14:textId="1FE37914" w:rsidR="00846B0D" w:rsidRPr="00282BFE" w:rsidRDefault="00846B0D" w:rsidP="00D25E4D">
      <w:pPr>
        <w:ind w:right="12"/>
        <w:jc w:val="center"/>
        <w:rPr>
          <w:rFonts w:asciiTheme="minorHAnsi" w:hAnsiTheme="minorHAnsi"/>
          <w:i/>
          <w:sz w:val="24"/>
        </w:rPr>
      </w:pPr>
    </w:p>
    <w:p w14:paraId="086D0ADF" w14:textId="121BEB1E" w:rsidR="002F06D5" w:rsidRDefault="00F0124C" w:rsidP="002F06D5">
      <w:pPr>
        <w:ind w:right="12"/>
        <w:jc w:val="center"/>
        <w:rPr>
          <w:rFonts w:asciiTheme="minorHAnsi" w:hAnsiTheme="minorHAnsi"/>
          <w:sz w:val="24"/>
        </w:rPr>
      </w:pPr>
      <w:r>
        <w:rPr>
          <w:rFonts w:asciiTheme="minorHAnsi" w:hAnsiTheme="minorHAnsi"/>
          <w:noProof/>
          <w:sz w:val="24"/>
        </w:rPr>
        <w:drawing>
          <wp:inline distT="0" distB="0" distL="0" distR="0" wp14:anchorId="5417A574" wp14:editId="1D4A419C">
            <wp:extent cx="4553712" cy="562356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Base Tuition.JPG"/>
                    <pic:cNvPicPr/>
                  </pic:nvPicPr>
                  <pic:blipFill>
                    <a:blip r:embed="rId12">
                      <a:extLst>
                        <a:ext uri="{28A0092B-C50C-407E-A947-70E740481C1C}">
                          <a14:useLocalDpi xmlns:a14="http://schemas.microsoft.com/office/drawing/2010/main" val="0"/>
                        </a:ext>
                      </a:extLst>
                    </a:blip>
                    <a:stretch>
                      <a:fillRect/>
                    </a:stretch>
                  </pic:blipFill>
                  <pic:spPr>
                    <a:xfrm>
                      <a:off x="0" y="0"/>
                      <a:ext cx="4553712" cy="5623560"/>
                    </a:xfrm>
                    <a:prstGeom prst="rect">
                      <a:avLst/>
                    </a:prstGeom>
                  </pic:spPr>
                </pic:pic>
              </a:graphicData>
            </a:graphic>
          </wp:inline>
        </w:drawing>
      </w:r>
      <w:r w:rsidR="009D6E84" w:rsidRPr="00282BFE">
        <w:rPr>
          <w:rFonts w:asciiTheme="minorHAnsi" w:hAnsiTheme="minorHAnsi"/>
          <w:sz w:val="24"/>
        </w:rPr>
        <w:br w:type="page"/>
      </w:r>
    </w:p>
    <w:p w14:paraId="5A46D3F8" w14:textId="297EE82E" w:rsidR="009D6E84" w:rsidRPr="002A0AD3" w:rsidRDefault="006B0496" w:rsidP="002B0F3D">
      <w:pPr>
        <w:shd w:val="clear" w:color="auto" w:fill="DBE5F1" w:themeFill="accent1" w:themeFillTint="33"/>
        <w:ind w:right="12"/>
        <w:jc w:val="center"/>
        <w:rPr>
          <w:rFonts w:asciiTheme="minorHAnsi" w:hAnsiTheme="minorHAnsi"/>
          <w:b/>
          <w:sz w:val="28"/>
        </w:rPr>
      </w:pPr>
      <w:r w:rsidRPr="002A0AD3">
        <w:rPr>
          <w:rFonts w:asciiTheme="minorHAnsi" w:hAnsiTheme="minorHAnsi"/>
          <w:b/>
          <w:sz w:val="28"/>
        </w:rPr>
        <w:lastRenderedPageBreak/>
        <w:t xml:space="preserve">Oregon </w:t>
      </w:r>
      <w:r w:rsidR="000C70FA" w:rsidRPr="002A0AD3">
        <w:rPr>
          <w:rFonts w:asciiTheme="minorHAnsi" w:hAnsiTheme="minorHAnsi"/>
          <w:b/>
          <w:sz w:val="28"/>
        </w:rPr>
        <w:t>Tech</w:t>
      </w:r>
      <w:r w:rsidR="002A0AD3" w:rsidRPr="002A0AD3">
        <w:rPr>
          <w:rFonts w:asciiTheme="minorHAnsi" w:hAnsiTheme="minorHAnsi"/>
          <w:b/>
          <w:sz w:val="28"/>
        </w:rPr>
        <w:t>–</w:t>
      </w:r>
      <w:r w:rsidR="005855AC" w:rsidRPr="002A0AD3">
        <w:rPr>
          <w:rFonts w:asciiTheme="minorHAnsi" w:hAnsiTheme="minorHAnsi"/>
          <w:b/>
          <w:sz w:val="28"/>
        </w:rPr>
        <w:t>Klamath Falls</w:t>
      </w:r>
      <w:r w:rsidR="00122C0F">
        <w:rPr>
          <w:rFonts w:asciiTheme="minorHAnsi" w:hAnsiTheme="minorHAnsi"/>
          <w:b/>
          <w:sz w:val="28"/>
        </w:rPr>
        <w:t xml:space="preserve"> – </w:t>
      </w:r>
      <w:r w:rsidR="00E6138E">
        <w:rPr>
          <w:rFonts w:asciiTheme="minorHAnsi" w:hAnsiTheme="minorHAnsi"/>
          <w:b/>
          <w:sz w:val="28"/>
        </w:rPr>
        <w:t>201</w:t>
      </w:r>
      <w:r w:rsidR="00F235AE">
        <w:rPr>
          <w:rFonts w:asciiTheme="minorHAnsi" w:hAnsiTheme="minorHAnsi"/>
          <w:b/>
          <w:sz w:val="28"/>
        </w:rPr>
        <w:t>7</w:t>
      </w:r>
      <w:r w:rsidR="00E6138E">
        <w:rPr>
          <w:rFonts w:asciiTheme="minorHAnsi" w:hAnsiTheme="minorHAnsi"/>
          <w:b/>
          <w:sz w:val="28"/>
        </w:rPr>
        <w:t>-1</w:t>
      </w:r>
      <w:r w:rsidR="00F235AE">
        <w:rPr>
          <w:rFonts w:asciiTheme="minorHAnsi" w:hAnsiTheme="minorHAnsi"/>
          <w:b/>
          <w:sz w:val="28"/>
        </w:rPr>
        <w:t>8</w:t>
      </w:r>
      <w:r w:rsidR="00122C0F">
        <w:rPr>
          <w:rFonts w:asciiTheme="minorHAnsi" w:hAnsiTheme="minorHAnsi"/>
          <w:b/>
          <w:sz w:val="28"/>
        </w:rPr>
        <w:t xml:space="preserve"> Academic Year</w:t>
      </w:r>
    </w:p>
    <w:p w14:paraId="6A3EAB74" w14:textId="43AB5C89" w:rsidR="009D6E84" w:rsidRPr="00282BFE" w:rsidRDefault="009D6E84" w:rsidP="00AB21B1">
      <w:pPr>
        <w:pStyle w:val="Heading3"/>
      </w:pPr>
      <w:bookmarkStart w:id="100" w:name="_Toc322438394"/>
      <w:bookmarkStart w:id="101" w:name="_Toc322440180"/>
      <w:bookmarkStart w:id="102" w:name="_Toc322440263"/>
      <w:bookmarkStart w:id="103" w:name="_Toc421521612"/>
      <w:r w:rsidRPr="00282BFE">
        <w:t>Mandatory Fees</w:t>
      </w:r>
      <w:bookmarkEnd w:id="100"/>
      <w:bookmarkEnd w:id="101"/>
      <w:bookmarkEnd w:id="102"/>
      <w:bookmarkEnd w:id="103"/>
      <w:r w:rsidR="002C54E9">
        <w:t>-Klamath Falls</w:t>
      </w:r>
    </w:p>
    <w:p w14:paraId="01448398" w14:textId="77777777" w:rsidR="009D6E84" w:rsidRPr="00282BFE" w:rsidRDefault="009D6E84" w:rsidP="00F65320">
      <w:pPr>
        <w:ind w:right="12"/>
        <w:jc w:val="center"/>
        <w:rPr>
          <w:rFonts w:asciiTheme="minorHAnsi" w:hAnsiTheme="minorHAnsi"/>
          <w:b/>
          <w:sz w:val="24"/>
        </w:rPr>
      </w:pPr>
      <w:r w:rsidRPr="00282BFE">
        <w:rPr>
          <w:rFonts w:asciiTheme="minorHAnsi" w:hAnsiTheme="minorHAnsi"/>
          <w:b/>
          <w:sz w:val="24"/>
        </w:rPr>
        <w:t>Per Term</w:t>
      </w:r>
    </w:p>
    <w:p w14:paraId="3C791AC3" w14:textId="77777777" w:rsidR="006B0496" w:rsidRPr="00282BFE" w:rsidRDefault="006B0496" w:rsidP="00F65320">
      <w:pPr>
        <w:ind w:right="12"/>
        <w:jc w:val="center"/>
        <w:rPr>
          <w:rFonts w:asciiTheme="minorHAnsi" w:hAnsiTheme="minorHAnsi"/>
          <w:b/>
          <w:sz w:val="24"/>
        </w:rPr>
      </w:pPr>
    </w:p>
    <w:p w14:paraId="0D047BB1" w14:textId="77777777" w:rsidR="006B0496" w:rsidRPr="00282BFE" w:rsidRDefault="00156374" w:rsidP="00997081">
      <w:pPr>
        <w:ind w:right="12"/>
        <w:jc w:val="both"/>
        <w:rPr>
          <w:rFonts w:asciiTheme="minorHAnsi" w:hAnsiTheme="minorHAnsi"/>
          <w:i/>
          <w:sz w:val="24"/>
        </w:rPr>
      </w:pPr>
      <w:r w:rsidRPr="00282BFE">
        <w:rPr>
          <w:rFonts w:asciiTheme="minorHAnsi" w:hAnsiTheme="minorHAnsi"/>
          <w:i/>
          <w:sz w:val="24"/>
        </w:rPr>
        <w:t xml:space="preserve">The mandatory fees included in the following schedule are </w:t>
      </w:r>
      <w:r w:rsidR="006B0496" w:rsidRPr="00282BFE">
        <w:rPr>
          <w:rFonts w:asciiTheme="minorHAnsi" w:hAnsiTheme="minorHAnsi"/>
          <w:i/>
          <w:sz w:val="24"/>
        </w:rPr>
        <w:t xml:space="preserve">applicable to all </w:t>
      </w:r>
      <w:r w:rsidR="00BF5D13">
        <w:rPr>
          <w:rFonts w:asciiTheme="minorHAnsi" w:hAnsiTheme="minorHAnsi"/>
          <w:i/>
          <w:sz w:val="24"/>
        </w:rPr>
        <w:t>Oregon Tech -</w:t>
      </w:r>
      <w:r w:rsidR="00925D68" w:rsidRPr="00282BFE">
        <w:rPr>
          <w:rFonts w:asciiTheme="minorHAnsi" w:hAnsiTheme="minorHAnsi"/>
          <w:i/>
          <w:sz w:val="24"/>
        </w:rPr>
        <w:t xml:space="preserve"> Klamath Falls Campus students</w:t>
      </w:r>
      <w:r w:rsidR="006B0496" w:rsidRPr="00282BFE">
        <w:rPr>
          <w:rFonts w:asciiTheme="minorHAnsi" w:hAnsiTheme="minorHAnsi"/>
          <w:i/>
          <w:sz w:val="24"/>
        </w:rPr>
        <w:t xml:space="preserve"> and should be added to the applicable tuition charges (based on class-level and total credits) to de</w:t>
      </w:r>
      <w:r w:rsidR="00F3472B" w:rsidRPr="00282BFE">
        <w:rPr>
          <w:rFonts w:asciiTheme="minorHAnsi" w:hAnsiTheme="minorHAnsi"/>
          <w:i/>
          <w:sz w:val="24"/>
        </w:rPr>
        <w:t>termine total tuition and fees.</w:t>
      </w:r>
      <w:r w:rsidR="006B0496" w:rsidRPr="00282BFE">
        <w:rPr>
          <w:rFonts w:asciiTheme="minorHAnsi" w:hAnsiTheme="minorHAnsi"/>
          <w:i/>
          <w:sz w:val="24"/>
        </w:rPr>
        <w:t xml:space="preserve"> In addition, institutions may charge </w:t>
      </w:r>
      <w:r w:rsidR="00EB009A" w:rsidRPr="00282BFE">
        <w:rPr>
          <w:rFonts w:asciiTheme="minorHAnsi" w:hAnsiTheme="minorHAnsi"/>
          <w:i/>
          <w:sz w:val="24"/>
        </w:rPr>
        <w:t>additional</w:t>
      </w:r>
      <w:r w:rsidR="006B0496" w:rsidRPr="00282BFE">
        <w:rPr>
          <w:rFonts w:asciiTheme="minorHAnsi" w:hAnsiTheme="minorHAnsi"/>
          <w:i/>
          <w:sz w:val="24"/>
        </w:rPr>
        <w:t xml:space="preserve"> fees for specific courses (lab fees, etc.) and services (parking, </w:t>
      </w:r>
      <w:r w:rsidR="00BF5D13">
        <w:rPr>
          <w:rFonts w:asciiTheme="minorHAnsi" w:hAnsiTheme="minorHAnsi"/>
          <w:i/>
          <w:sz w:val="24"/>
        </w:rPr>
        <w:t xml:space="preserve">etc.)  </w:t>
      </w:r>
      <w:r w:rsidR="006B0496" w:rsidRPr="00282BFE">
        <w:rPr>
          <w:rFonts w:asciiTheme="minorHAnsi" w:hAnsiTheme="minorHAnsi"/>
          <w:i/>
          <w:sz w:val="24"/>
        </w:rPr>
        <w:t xml:space="preserve">Contact the campus directly for information regarding any additional fees. </w:t>
      </w:r>
    </w:p>
    <w:p w14:paraId="0009F3DF" w14:textId="77777777" w:rsidR="006B0496" w:rsidRPr="00282BFE" w:rsidRDefault="006B0496" w:rsidP="00997081">
      <w:pPr>
        <w:ind w:right="12"/>
        <w:jc w:val="both"/>
        <w:rPr>
          <w:rFonts w:asciiTheme="minorHAnsi" w:hAnsiTheme="minorHAnsi"/>
          <w:i/>
          <w:sz w:val="24"/>
        </w:rPr>
      </w:pPr>
    </w:p>
    <w:p w14:paraId="18DD58D4" w14:textId="77777777" w:rsidR="006B0496" w:rsidRPr="00282BFE" w:rsidRDefault="00BF5D13" w:rsidP="00997081">
      <w:pPr>
        <w:ind w:right="12"/>
        <w:jc w:val="both"/>
        <w:rPr>
          <w:rFonts w:asciiTheme="minorHAnsi" w:hAnsiTheme="minorHAnsi"/>
          <w:i/>
          <w:sz w:val="24"/>
        </w:rPr>
      </w:pPr>
      <w:r w:rsidRPr="00BF5D13">
        <w:rPr>
          <w:rFonts w:asciiTheme="minorHAnsi" w:hAnsiTheme="minorHAnsi"/>
          <w:i/>
          <w:sz w:val="24"/>
          <w:u w:val="single"/>
        </w:rPr>
        <w:t>Note</w:t>
      </w:r>
      <w:r w:rsidR="00F3472B" w:rsidRPr="00282BFE">
        <w:rPr>
          <w:rFonts w:asciiTheme="minorHAnsi" w:hAnsiTheme="minorHAnsi"/>
          <w:i/>
          <w:sz w:val="24"/>
        </w:rPr>
        <w:t>:</w:t>
      </w:r>
      <w:r w:rsidR="006B0496" w:rsidRPr="00282BFE">
        <w:rPr>
          <w:rFonts w:asciiTheme="minorHAnsi" w:hAnsiTheme="minorHAnsi"/>
          <w:i/>
          <w:sz w:val="24"/>
        </w:rPr>
        <w:t xml:space="preserve"> </w:t>
      </w:r>
      <w:r w:rsidR="00A13213" w:rsidRPr="00282BFE">
        <w:rPr>
          <w:rFonts w:asciiTheme="minorHAnsi" w:hAnsiTheme="minorHAnsi"/>
          <w:i/>
          <w:sz w:val="24"/>
        </w:rPr>
        <w:t>T</w:t>
      </w:r>
      <w:r w:rsidR="006B0496" w:rsidRPr="00282BFE">
        <w:rPr>
          <w:rFonts w:asciiTheme="minorHAnsi" w:hAnsiTheme="minorHAnsi"/>
          <w:i/>
          <w:sz w:val="24"/>
        </w:rPr>
        <w:t>he following mandatory fees are not applicable to O</w:t>
      </w:r>
      <w:r>
        <w:rPr>
          <w:rFonts w:asciiTheme="minorHAnsi" w:hAnsiTheme="minorHAnsi"/>
          <w:i/>
          <w:sz w:val="24"/>
        </w:rPr>
        <w:t>regon Tech</w:t>
      </w:r>
      <w:r w:rsidR="006B0496" w:rsidRPr="00282BFE">
        <w:rPr>
          <w:rFonts w:asciiTheme="minorHAnsi" w:hAnsiTheme="minorHAnsi"/>
          <w:i/>
          <w:sz w:val="24"/>
        </w:rPr>
        <w:t xml:space="preserve"> shared campus programs. The mandatory fees applicable to those programs are included on the</w:t>
      </w:r>
      <w:r w:rsidR="002F273B" w:rsidRPr="00282BFE">
        <w:rPr>
          <w:rFonts w:asciiTheme="minorHAnsi" w:hAnsiTheme="minorHAnsi"/>
          <w:i/>
          <w:sz w:val="24"/>
        </w:rPr>
        <w:t>ir</w:t>
      </w:r>
      <w:r w:rsidR="006B0496" w:rsidRPr="00282BFE">
        <w:rPr>
          <w:rFonts w:asciiTheme="minorHAnsi" w:hAnsiTheme="minorHAnsi"/>
          <w:i/>
          <w:sz w:val="24"/>
        </w:rPr>
        <w:t xml:space="preserve"> </w:t>
      </w:r>
      <w:r w:rsidR="002F273B" w:rsidRPr="00282BFE">
        <w:rPr>
          <w:rFonts w:asciiTheme="minorHAnsi" w:hAnsiTheme="minorHAnsi"/>
          <w:i/>
          <w:sz w:val="24"/>
        </w:rPr>
        <w:t xml:space="preserve">respective </w:t>
      </w:r>
      <w:r w:rsidR="006B0496" w:rsidRPr="00282BFE">
        <w:rPr>
          <w:rFonts w:asciiTheme="minorHAnsi" w:hAnsiTheme="minorHAnsi"/>
          <w:i/>
          <w:sz w:val="24"/>
        </w:rPr>
        <w:t>tuition and fee schedules.</w:t>
      </w:r>
    </w:p>
    <w:p w14:paraId="7EA573F0" w14:textId="77777777" w:rsidR="00925D68" w:rsidRPr="00282BFE" w:rsidRDefault="00925D68" w:rsidP="00997081">
      <w:pPr>
        <w:jc w:val="both"/>
        <w:rPr>
          <w:rFonts w:asciiTheme="minorHAnsi" w:hAnsiTheme="minorHAnsi"/>
          <w:sz w:val="24"/>
        </w:rPr>
      </w:pPr>
    </w:p>
    <w:p w14:paraId="2C5DAB27" w14:textId="3DF876E2" w:rsidR="006B0496" w:rsidRPr="00282BFE" w:rsidRDefault="006B0496" w:rsidP="00F65320">
      <w:pPr>
        <w:ind w:right="12"/>
        <w:jc w:val="center"/>
        <w:rPr>
          <w:rFonts w:asciiTheme="minorHAnsi" w:hAnsiTheme="minorHAnsi"/>
          <w:b/>
          <w:sz w:val="24"/>
        </w:rPr>
      </w:pPr>
    </w:p>
    <w:tbl>
      <w:tblPr>
        <w:tblW w:w="10975" w:type="dxa"/>
        <w:jc w:val="center"/>
        <w:tblCellMar>
          <w:left w:w="0" w:type="dxa"/>
          <w:right w:w="0" w:type="dxa"/>
        </w:tblCellMar>
        <w:tblLook w:val="04A0" w:firstRow="1" w:lastRow="0" w:firstColumn="1" w:lastColumn="0" w:noHBand="0" w:noVBand="1"/>
      </w:tblPr>
      <w:tblGrid>
        <w:gridCol w:w="944"/>
        <w:gridCol w:w="1481"/>
        <w:gridCol w:w="1074"/>
        <w:gridCol w:w="80"/>
        <w:gridCol w:w="1447"/>
        <w:gridCol w:w="1176"/>
        <w:gridCol w:w="80"/>
        <w:gridCol w:w="1447"/>
        <w:gridCol w:w="1085"/>
        <w:gridCol w:w="80"/>
        <w:gridCol w:w="1447"/>
        <w:gridCol w:w="1209"/>
      </w:tblGrid>
      <w:tr w:rsidR="00AE5F76" w14:paraId="4A02A213" w14:textId="77777777" w:rsidTr="00AE5F76">
        <w:trPr>
          <w:trHeight w:val="315"/>
          <w:jc w:val="center"/>
        </w:trPr>
        <w:tc>
          <w:tcPr>
            <w:tcW w:w="0" w:type="auto"/>
            <w:vMerge w:val="restart"/>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6F5E5F5" w14:textId="77777777" w:rsidR="00AE5F76" w:rsidRDefault="00AE5F76">
            <w:pPr>
              <w:jc w:val="center"/>
              <w:rPr>
                <w:rFonts w:ascii="Calibri" w:hAnsi="Calibri"/>
                <w:b/>
                <w:bCs/>
                <w:color w:val="000000"/>
                <w:szCs w:val="22"/>
              </w:rPr>
            </w:pPr>
            <w:r>
              <w:rPr>
                <w:rFonts w:ascii="Calibri" w:hAnsi="Calibri"/>
                <w:b/>
                <w:bCs/>
                <w:color w:val="000000"/>
                <w:szCs w:val="22"/>
              </w:rPr>
              <w:t xml:space="preserve">Credits </w:t>
            </w:r>
          </w:p>
        </w:tc>
        <w:tc>
          <w:tcPr>
            <w:tcW w:w="0" w:type="auto"/>
            <w:gridSpan w:val="2"/>
            <w:tcBorders>
              <w:top w:val="single" w:sz="4" w:space="0" w:color="auto"/>
              <w:left w:val="nil"/>
              <w:bottom w:val="nil"/>
              <w:right w:val="single" w:sz="4" w:space="0" w:color="000000"/>
            </w:tcBorders>
            <w:shd w:val="clear" w:color="000000" w:fill="FDE9D9"/>
            <w:noWrap/>
            <w:tcMar>
              <w:top w:w="15" w:type="dxa"/>
              <w:left w:w="15" w:type="dxa"/>
              <w:bottom w:w="0" w:type="dxa"/>
              <w:right w:w="15" w:type="dxa"/>
            </w:tcMar>
            <w:vAlign w:val="bottom"/>
            <w:hideMark/>
          </w:tcPr>
          <w:p w14:paraId="5283DDF1" w14:textId="77777777" w:rsidR="00AE5F76" w:rsidRDefault="00AE5F76">
            <w:pPr>
              <w:jc w:val="center"/>
              <w:rPr>
                <w:rFonts w:ascii="Calibri" w:hAnsi="Calibri"/>
                <w:b/>
                <w:bCs/>
                <w:color w:val="000000"/>
                <w:szCs w:val="22"/>
              </w:rPr>
            </w:pPr>
            <w:r>
              <w:rPr>
                <w:rFonts w:ascii="Calibri" w:hAnsi="Calibri"/>
                <w:b/>
                <w:bCs/>
                <w:color w:val="000000"/>
                <w:szCs w:val="22"/>
              </w:rPr>
              <w:t>Building</w:t>
            </w:r>
          </w:p>
        </w:tc>
        <w:tc>
          <w:tcPr>
            <w:tcW w:w="0" w:type="auto"/>
            <w:tcBorders>
              <w:top w:val="single" w:sz="4" w:space="0" w:color="auto"/>
              <w:left w:val="nil"/>
              <w:bottom w:val="nil"/>
              <w:right w:val="single" w:sz="4" w:space="0" w:color="auto"/>
            </w:tcBorders>
            <w:shd w:val="clear" w:color="000000" w:fill="DDD9C4"/>
            <w:noWrap/>
            <w:tcMar>
              <w:top w:w="15" w:type="dxa"/>
              <w:left w:w="15" w:type="dxa"/>
              <w:bottom w:w="0" w:type="dxa"/>
              <w:right w:w="15" w:type="dxa"/>
            </w:tcMar>
            <w:vAlign w:val="bottom"/>
            <w:hideMark/>
          </w:tcPr>
          <w:p w14:paraId="27E6482F" w14:textId="77777777" w:rsidR="00AE5F76" w:rsidRDefault="00AE5F76">
            <w:pPr>
              <w:rPr>
                <w:rFonts w:ascii="Calibri" w:hAnsi="Calibri"/>
                <w:b/>
                <w:bCs/>
                <w:color w:val="000000"/>
                <w:szCs w:val="22"/>
              </w:rPr>
            </w:pPr>
            <w:r>
              <w:rPr>
                <w:rFonts w:ascii="Calibri" w:hAnsi="Calibri"/>
                <w:b/>
                <w:bCs/>
                <w:color w:val="000000"/>
                <w:szCs w:val="22"/>
              </w:rPr>
              <w:t> </w:t>
            </w:r>
          </w:p>
        </w:tc>
        <w:tc>
          <w:tcPr>
            <w:tcW w:w="0" w:type="auto"/>
            <w:gridSpan w:val="2"/>
            <w:tcBorders>
              <w:top w:val="single" w:sz="4" w:space="0" w:color="auto"/>
              <w:left w:val="nil"/>
              <w:bottom w:val="nil"/>
              <w:right w:val="nil"/>
            </w:tcBorders>
            <w:shd w:val="clear" w:color="000000" w:fill="FDE9D9"/>
            <w:noWrap/>
            <w:tcMar>
              <w:top w:w="15" w:type="dxa"/>
              <w:left w:w="15" w:type="dxa"/>
              <w:bottom w:w="0" w:type="dxa"/>
              <w:right w:w="15" w:type="dxa"/>
            </w:tcMar>
            <w:vAlign w:val="bottom"/>
            <w:hideMark/>
          </w:tcPr>
          <w:p w14:paraId="486C008D" w14:textId="77777777" w:rsidR="00AE5F76" w:rsidRDefault="00AE5F76">
            <w:pPr>
              <w:jc w:val="center"/>
              <w:rPr>
                <w:rFonts w:ascii="Calibri" w:hAnsi="Calibri"/>
                <w:b/>
                <w:bCs/>
                <w:color w:val="000000"/>
                <w:szCs w:val="22"/>
              </w:rPr>
            </w:pPr>
            <w:r>
              <w:rPr>
                <w:rFonts w:ascii="Calibri" w:hAnsi="Calibri"/>
                <w:b/>
                <w:bCs/>
                <w:color w:val="000000"/>
                <w:szCs w:val="22"/>
              </w:rPr>
              <w:t>Incidental</w:t>
            </w:r>
          </w:p>
        </w:tc>
        <w:tc>
          <w:tcPr>
            <w:tcW w:w="0" w:type="auto"/>
            <w:tcBorders>
              <w:top w:val="single" w:sz="4" w:space="0" w:color="auto"/>
              <w:left w:val="single" w:sz="4" w:space="0" w:color="auto"/>
              <w:bottom w:val="nil"/>
              <w:right w:val="single" w:sz="4" w:space="0" w:color="auto"/>
            </w:tcBorders>
            <w:shd w:val="clear" w:color="000000" w:fill="DDD9C4"/>
            <w:noWrap/>
            <w:tcMar>
              <w:top w:w="15" w:type="dxa"/>
              <w:left w:w="15" w:type="dxa"/>
              <w:bottom w:w="0" w:type="dxa"/>
              <w:right w:w="15" w:type="dxa"/>
            </w:tcMar>
            <w:vAlign w:val="bottom"/>
            <w:hideMark/>
          </w:tcPr>
          <w:p w14:paraId="725DF404" w14:textId="77777777" w:rsidR="00AE5F76" w:rsidRDefault="00AE5F76">
            <w:pPr>
              <w:rPr>
                <w:rFonts w:ascii="Calibri" w:hAnsi="Calibri"/>
                <w:b/>
                <w:bCs/>
                <w:color w:val="000000"/>
                <w:szCs w:val="22"/>
              </w:rPr>
            </w:pPr>
            <w:r>
              <w:rPr>
                <w:rFonts w:ascii="Calibri" w:hAnsi="Calibri"/>
                <w:b/>
                <w:bCs/>
                <w:color w:val="000000"/>
                <w:szCs w:val="22"/>
              </w:rPr>
              <w:t> </w:t>
            </w:r>
          </w:p>
        </w:tc>
        <w:tc>
          <w:tcPr>
            <w:tcW w:w="0" w:type="auto"/>
            <w:gridSpan w:val="2"/>
            <w:tcBorders>
              <w:top w:val="single" w:sz="4" w:space="0" w:color="auto"/>
              <w:left w:val="nil"/>
              <w:bottom w:val="nil"/>
              <w:right w:val="single" w:sz="4" w:space="0" w:color="000000"/>
            </w:tcBorders>
            <w:shd w:val="clear" w:color="000000" w:fill="FDE9D9"/>
            <w:noWrap/>
            <w:tcMar>
              <w:top w:w="15" w:type="dxa"/>
              <w:left w:w="15" w:type="dxa"/>
              <w:bottom w:w="0" w:type="dxa"/>
              <w:right w:w="15" w:type="dxa"/>
            </w:tcMar>
            <w:vAlign w:val="bottom"/>
            <w:hideMark/>
          </w:tcPr>
          <w:p w14:paraId="196732A5" w14:textId="77777777" w:rsidR="00AE5F76" w:rsidRDefault="00AE5F76">
            <w:pPr>
              <w:jc w:val="center"/>
              <w:rPr>
                <w:rFonts w:ascii="Calibri" w:hAnsi="Calibri"/>
                <w:b/>
                <w:bCs/>
                <w:color w:val="000000"/>
                <w:szCs w:val="22"/>
              </w:rPr>
            </w:pPr>
            <w:r>
              <w:rPr>
                <w:rFonts w:ascii="Calibri" w:hAnsi="Calibri"/>
                <w:b/>
                <w:bCs/>
                <w:color w:val="000000"/>
                <w:szCs w:val="22"/>
              </w:rPr>
              <w:t>Health Service</w:t>
            </w:r>
          </w:p>
        </w:tc>
        <w:tc>
          <w:tcPr>
            <w:tcW w:w="0" w:type="auto"/>
            <w:tcBorders>
              <w:top w:val="single" w:sz="4" w:space="0" w:color="auto"/>
              <w:left w:val="nil"/>
              <w:bottom w:val="nil"/>
              <w:right w:val="single" w:sz="4" w:space="0" w:color="auto"/>
            </w:tcBorders>
            <w:shd w:val="clear" w:color="000000" w:fill="DDD9C4"/>
            <w:noWrap/>
            <w:tcMar>
              <w:top w:w="15" w:type="dxa"/>
              <w:left w:w="15" w:type="dxa"/>
              <w:bottom w:w="0" w:type="dxa"/>
              <w:right w:w="15" w:type="dxa"/>
            </w:tcMar>
            <w:vAlign w:val="bottom"/>
            <w:hideMark/>
          </w:tcPr>
          <w:p w14:paraId="270E9AB7" w14:textId="77777777" w:rsidR="00AE5F76" w:rsidRDefault="00AE5F76">
            <w:pPr>
              <w:rPr>
                <w:rFonts w:ascii="Calibri" w:hAnsi="Calibri"/>
                <w:b/>
                <w:bCs/>
                <w:color w:val="000000"/>
                <w:szCs w:val="22"/>
              </w:rPr>
            </w:pPr>
            <w:r>
              <w:rPr>
                <w:rFonts w:ascii="Calibri" w:hAnsi="Calibri"/>
                <w:b/>
                <w:bCs/>
                <w:color w:val="000000"/>
                <w:szCs w:val="22"/>
              </w:rPr>
              <w:t> </w:t>
            </w:r>
          </w:p>
        </w:tc>
        <w:tc>
          <w:tcPr>
            <w:tcW w:w="2575" w:type="dxa"/>
            <w:gridSpan w:val="2"/>
            <w:tcBorders>
              <w:top w:val="single" w:sz="4" w:space="0" w:color="auto"/>
              <w:left w:val="nil"/>
              <w:bottom w:val="nil"/>
              <w:right w:val="single" w:sz="4" w:space="0" w:color="000000"/>
            </w:tcBorders>
            <w:shd w:val="clear" w:color="000000" w:fill="E4DFEC"/>
            <w:noWrap/>
            <w:tcMar>
              <w:top w:w="15" w:type="dxa"/>
              <w:left w:w="15" w:type="dxa"/>
              <w:bottom w:w="0" w:type="dxa"/>
              <w:right w:w="15" w:type="dxa"/>
            </w:tcMar>
            <w:vAlign w:val="bottom"/>
            <w:hideMark/>
          </w:tcPr>
          <w:p w14:paraId="76522FD9" w14:textId="77777777" w:rsidR="00AE5F76" w:rsidRDefault="00AE5F76">
            <w:pPr>
              <w:jc w:val="center"/>
              <w:rPr>
                <w:rFonts w:ascii="Calibri" w:hAnsi="Calibri"/>
                <w:b/>
                <w:bCs/>
                <w:color w:val="000000"/>
                <w:szCs w:val="22"/>
              </w:rPr>
            </w:pPr>
            <w:r>
              <w:rPr>
                <w:rFonts w:ascii="Calibri" w:hAnsi="Calibri"/>
                <w:b/>
                <w:bCs/>
                <w:color w:val="000000"/>
                <w:szCs w:val="22"/>
              </w:rPr>
              <w:t>Total Fees</w:t>
            </w:r>
          </w:p>
        </w:tc>
      </w:tr>
      <w:tr w:rsidR="00AE5F76" w14:paraId="796BBFEA" w14:textId="77777777" w:rsidTr="00AE5F76">
        <w:trPr>
          <w:trHeight w:val="600"/>
          <w:jc w:val="center"/>
        </w:trPr>
        <w:tc>
          <w:tcPr>
            <w:tcW w:w="0" w:type="auto"/>
            <w:vMerge/>
            <w:tcBorders>
              <w:top w:val="single" w:sz="4" w:space="0" w:color="auto"/>
              <w:left w:val="single" w:sz="4" w:space="0" w:color="auto"/>
              <w:bottom w:val="nil"/>
              <w:right w:val="single" w:sz="4" w:space="0" w:color="auto"/>
            </w:tcBorders>
            <w:vAlign w:val="center"/>
            <w:hideMark/>
          </w:tcPr>
          <w:p w14:paraId="621091AF" w14:textId="77777777" w:rsidR="00AE5F76" w:rsidRDefault="00AE5F76">
            <w:pPr>
              <w:rPr>
                <w:rFonts w:ascii="Calibri" w:hAnsi="Calibri"/>
                <w:b/>
                <w:bCs/>
                <w:color w:val="000000"/>
                <w:szCs w:val="22"/>
              </w:rPr>
            </w:pPr>
          </w:p>
        </w:tc>
        <w:tc>
          <w:tcPr>
            <w:tcW w:w="0" w:type="auto"/>
            <w:tcBorders>
              <w:top w:val="nil"/>
              <w:left w:val="nil"/>
              <w:bottom w:val="nil"/>
              <w:right w:val="nil"/>
            </w:tcBorders>
            <w:shd w:val="clear" w:color="auto" w:fill="auto"/>
            <w:tcMar>
              <w:top w:w="15" w:type="dxa"/>
              <w:left w:w="15" w:type="dxa"/>
              <w:bottom w:w="0" w:type="dxa"/>
              <w:right w:w="15" w:type="dxa"/>
            </w:tcMar>
            <w:vAlign w:val="bottom"/>
            <w:hideMark/>
          </w:tcPr>
          <w:p w14:paraId="30B1DE29" w14:textId="77777777" w:rsidR="00AE5F76" w:rsidRDefault="00AE5F76">
            <w:pPr>
              <w:jc w:val="center"/>
              <w:rPr>
                <w:rFonts w:ascii="Calibri" w:hAnsi="Calibri"/>
                <w:b/>
                <w:bCs/>
                <w:i/>
                <w:iCs/>
                <w:szCs w:val="22"/>
              </w:rPr>
            </w:pPr>
            <w:r>
              <w:rPr>
                <w:rFonts w:ascii="Calibri" w:hAnsi="Calibri"/>
                <w:b/>
                <w:bCs/>
                <w:i/>
                <w:iCs/>
                <w:szCs w:val="22"/>
              </w:rPr>
              <w:t xml:space="preserve"> Undergraduate </w:t>
            </w:r>
          </w:p>
        </w:tc>
        <w:tc>
          <w:tcPr>
            <w:tcW w:w="0" w:type="auto"/>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2A4A0D7" w14:textId="77777777" w:rsidR="00AE5F76" w:rsidRDefault="00AE5F76">
            <w:pPr>
              <w:jc w:val="right"/>
              <w:rPr>
                <w:rFonts w:ascii="Calibri" w:hAnsi="Calibri"/>
                <w:b/>
                <w:bCs/>
                <w:i/>
                <w:iCs/>
                <w:szCs w:val="22"/>
              </w:rPr>
            </w:pPr>
            <w:r>
              <w:rPr>
                <w:rFonts w:ascii="Calibri" w:hAnsi="Calibri"/>
                <w:b/>
                <w:bCs/>
                <w:i/>
                <w:iCs/>
                <w:szCs w:val="22"/>
              </w:rPr>
              <w:t xml:space="preserve"> Graduate </w:t>
            </w:r>
          </w:p>
        </w:tc>
        <w:tc>
          <w:tcPr>
            <w:tcW w:w="0" w:type="auto"/>
            <w:tcBorders>
              <w:top w:val="nil"/>
              <w:left w:val="nil"/>
              <w:bottom w:val="nil"/>
              <w:right w:val="single" w:sz="4" w:space="0" w:color="auto"/>
            </w:tcBorders>
            <w:shd w:val="clear" w:color="000000" w:fill="DDD9C4"/>
            <w:tcMar>
              <w:top w:w="15" w:type="dxa"/>
              <w:left w:w="15" w:type="dxa"/>
              <w:bottom w:w="0" w:type="dxa"/>
              <w:right w:w="15" w:type="dxa"/>
            </w:tcMar>
            <w:vAlign w:val="bottom"/>
            <w:hideMark/>
          </w:tcPr>
          <w:p w14:paraId="70BB18B1" w14:textId="77777777" w:rsidR="00AE5F76" w:rsidRDefault="00AE5F76">
            <w:pPr>
              <w:jc w:val="center"/>
              <w:rPr>
                <w:rFonts w:ascii="Calibri" w:hAnsi="Calibri"/>
                <w:b/>
                <w:bCs/>
                <w:i/>
                <w:iCs/>
                <w:szCs w:val="22"/>
              </w:rPr>
            </w:pPr>
            <w:r>
              <w:rPr>
                <w:rFonts w:ascii="Calibri" w:hAnsi="Calibri"/>
                <w:b/>
                <w:bCs/>
                <w:i/>
                <w:iCs/>
                <w:szCs w:val="22"/>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hideMark/>
          </w:tcPr>
          <w:p w14:paraId="54AF2E2B" w14:textId="77777777" w:rsidR="00AE5F76" w:rsidRDefault="00AE5F76">
            <w:pPr>
              <w:jc w:val="center"/>
              <w:rPr>
                <w:rFonts w:ascii="Calibri" w:hAnsi="Calibri"/>
                <w:b/>
                <w:bCs/>
                <w:i/>
                <w:iCs/>
                <w:szCs w:val="22"/>
              </w:rPr>
            </w:pPr>
            <w:r>
              <w:rPr>
                <w:rFonts w:ascii="Calibri" w:hAnsi="Calibri"/>
                <w:b/>
                <w:bCs/>
                <w:i/>
                <w:iCs/>
                <w:szCs w:val="22"/>
              </w:rPr>
              <w:t xml:space="preserve"> Undergraduate </w:t>
            </w:r>
          </w:p>
        </w:tc>
        <w:tc>
          <w:tcPr>
            <w:tcW w:w="0" w:type="auto"/>
            <w:tcBorders>
              <w:top w:val="nil"/>
              <w:left w:val="nil"/>
              <w:bottom w:val="nil"/>
              <w:right w:val="nil"/>
            </w:tcBorders>
            <w:shd w:val="clear" w:color="auto" w:fill="auto"/>
            <w:tcMar>
              <w:top w:w="15" w:type="dxa"/>
              <w:left w:w="15" w:type="dxa"/>
              <w:bottom w:w="0" w:type="dxa"/>
              <w:right w:w="15" w:type="dxa"/>
            </w:tcMar>
            <w:vAlign w:val="bottom"/>
            <w:hideMark/>
          </w:tcPr>
          <w:p w14:paraId="5F8B08CD" w14:textId="77777777" w:rsidR="00AE5F76" w:rsidRDefault="00AE5F76">
            <w:pPr>
              <w:jc w:val="right"/>
              <w:rPr>
                <w:rFonts w:ascii="Calibri" w:hAnsi="Calibri"/>
                <w:b/>
                <w:bCs/>
                <w:i/>
                <w:iCs/>
                <w:szCs w:val="22"/>
              </w:rPr>
            </w:pPr>
            <w:r>
              <w:rPr>
                <w:rFonts w:ascii="Calibri" w:hAnsi="Calibri"/>
                <w:b/>
                <w:bCs/>
                <w:i/>
                <w:iCs/>
                <w:szCs w:val="22"/>
              </w:rPr>
              <w:t xml:space="preserve"> Graduate </w:t>
            </w:r>
          </w:p>
        </w:tc>
        <w:tc>
          <w:tcPr>
            <w:tcW w:w="0" w:type="auto"/>
            <w:tcBorders>
              <w:top w:val="nil"/>
              <w:left w:val="single" w:sz="4" w:space="0" w:color="auto"/>
              <w:bottom w:val="nil"/>
              <w:right w:val="single" w:sz="4" w:space="0" w:color="auto"/>
            </w:tcBorders>
            <w:shd w:val="clear" w:color="000000" w:fill="DDD9C4"/>
            <w:tcMar>
              <w:top w:w="15" w:type="dxa"/>
              <w:left w:w="15" w:type="dxa"/>
              <w:bottom w:w="0" w:type="dxa"/>
              <w:right w:w="15" w:type="dxa"/>
            </w:tcMar>
            <w:vAlign w:val="bottom"/>
            <w:hideMark/>
          </w:tcPr>
          <w:p w14:paraId="73DD90DD" w14:textId="77777777" w:rsidR="00AE5F76" w:rsidRDefault="00AE5F76">
            <w:pPr>
              <w:jc w:val="center"/>
              <w:rPr>
                <w:rFonts w:ascii="Calibri" w:hAnsi="Calibri"/>
                <w:b/>
                <w:bCs/>
                <w:i/>
                <w:iCs/>
                <w:szCs w:val="22"/>
              </w:rPr>
            </w:pPr>
            <w:r>
              <w:rPr>
                <w:rFonts w:ascii="Calibri" w:hAnsi="Calibri"/>
                <w:b/>
                <w:bCs/>
                <w:i/>
                <w:iCs/>
                <w:szCs w:val="22"/>
              </w:rPr>
              <w:t> </w:t>
            </w:r>
          </w:p>
        </w:tc>
        <w:tc>
          <w:tcPr>
            <w:tcW w:w="0" w:type="auto"/>
            <w:tcBorders>
              <w:top w:val="nil"/>
              <w:left w:val="nil"/>
              <w:bottom w:val="nil"/>
              <w:right w:val="nil"/>
            </w:tcBorders>
            <w:shd w:val="clear" w:color="000000" w:fill="FFFFFF"/>
            <w:tcMar>
              <w:top w:w="15" w:type="dxa"/>
              <w:left w:w="15" w:type="dxa"/>
              <w:bottom w:w="0" w:type="dxa"/>
              <w:right w:w="15" w:type="dxa"/>
            </w:tcMar>
            <w:vAlign w:val="bottom"/>
            <w:hideMark/>
          </w:tcPr>
          <w:p w14:paraId="160B59CF" w14:textId="77777777" w:rsidR="00AE5F76" w:rsidRDefault="00AE5F76">
            <w:pPr>
              <w:jc w:val="center"/>
              <w:rPr>
                <w:rFonts w:ascii="Calibri" w:hAnsi="Calibri"/>
                <w:b/>
                <w:bCs/>
                <w:i/>
                <w:iCs/>
                <w:szCs w:val="22"/>
              </w:rPr>
            </w:pPr>
            <w:r>
              <w:rPr>
                <w:rFonts w:ascii="Calibri" w:hAnsi="Calibri"/>
                <w:b/>
                <w:bCs/>
                <w:i/>
                <w:iCs/>
                <w:szCs w:val="22"/>
              </w:rPr>
              <w:t xml:space="preserve"> Undergraduate </w:t>
            </w:r>
          </w:p>
        </w:tc>
        <w:tc>
          <w:tcPr>
            <w:tcW w:w="0" w:type="auto"/>
            <w:tcBorders>
              <w:top w:val="nil"/>
              <w:left w:val="nil"/>
              <w:bottom w:val="nil"/>
              <w:right w:val="single" w:sz="4" w:space="0" w:color="auto"/>
            </w:tcBorders>
            <w:shd w:val="clear" w:color="000000" w:fill="FFFFFF"/>
            <w:tcMar>
              <w:top w:w="15" w:type="dxa"/>
              <w:left w:w="15" w:type="dxa"/>
              <w:bottom w:w="0" w:type="dxa"/>
              <w:right w:w="15" w:type="dxa"/>
            </w:tcMar>
            <w:vAlign w:val="bottom"/>
            <w:hideMark/>
          </w:tcPr>
          <w:p w14:paraId="4C8126DA" w14:textId="77777777" w:rsidR="00AE5F76" w:rsidRDefault="00AE5F76">
            <w:pPr>
              <w:jc w:val="center"/>
              <w:rPr>
                <w:rFonts w:ascii="Calibri" w:hAnsi="Calibri"/>
                <w:b/>
                <w:bCs/>
                <w:i/>
                <w:iCs/>
                <w:szCs w:val="22"/>
              </w:rPr>
            </w:pPr>
            <w:r>
              <w:rPr>
                <w:rFonts w:ascii="Calibri" w:hAnsi="Calibri"/>
                <w:b/>
                <w:bCs/>
                <w:i/>
                <w:iCs/>
                <w:szCs w:val="22"/>
              </w:rPr>
              <w:t xml:space="preserve"> Graduate </w:t>
            </w:r>
          </w:p>
        </w:tc>
        <w:tc>
          <w:tcPr>
            <w:tcW w:w="0" w:type="auto"/>
            <w:tcBorders>
              <w:top w:val="nil"/>
              <w:left w:val="nil"/>
              <w:bottom w:val="nil"/>
              <w:right w:val="single" w:sz="4" w:space="0" w:color="auto"/>
            </w:tcBorders>
            <w:shd w:val="clear" w:color="000000" w:fill="DDD9C4"/>
            <w:tcMar>
              <w:top w:w="15" w:type="dxa"/>
              <w:left w:w="15" w:type="dxa"/>
              <w:bottom w:w="0" w:type="dxa"/>
              <w:right w:w="15" w:type="dxa"/>
            </w:tcMar>
            <w:vAlign w:val="bottom"/>
            <w:hideMark/>
          </w:tcPr>
          <w:p w14:paraId="11BC4C12" w14:textId="77777777" w:rsidR="00AE5F76" w:rsidRDefault="00AE5F76">
            <w:pPr>
              <w:jc w:val="center"/>
              <w:rPr>
                <w:rFonts w:ascii="Calibri" w:hAnsi="Calibri"/>
                <w:b/>
                <w:bCs/>
                <w:i/>
                <w:iCs/>
                <w:szCs w:val="22"/>
              </w:rPr>
            </w:pPr>
            <w:r>
              <w:rPr>
                <w:rFonts w:ascii="Calibri" w:hAnsi="Calibri"/>
                <w:b/>
                <w:bCs/>
                <w:i/>
                <w:iCs/>
                <w:szCs w:val="22"/>
              </w:rPr>
              <w:t> </w:t>
            </w:r>
          </w:p>
        </w:tc>
        <w:tc>
          <w:tcPr>
            <w:tcW w:w="0" w:type="auto"/>
            <w:tcBorders>
              <w:top w:val="nil"/>
              <w:left w:val="nil"/>
              <w:bottom w:val="nil"/>
              <w:right w:val="nil"/>
            </w:tcBorders>
            <w:shd w:val="clear" w:color="000000" w:fill="FFFFFF"/>
            <w:tcMar>
              <w:top w:w="15" w:type="dxa"/>
              <w:left w:w="15" w:type="dxa"/>
              <w:bottom w:w="0" w:type="dxa"/>
              <w:right w:w="15" w:type="dxa"/>
            </w:tcMar>
            <w:vAlign w:val="bottom"/>
            <w:hideMark/>
          </w:tcPr>
          <w:p w14:paraId="7FBEFDF7" w14:textId="77777777" w:rsidR="00AE5F76" w:rsidRDefault="00AE5F76">
            <w:pPr>
              <w:jc w:val="center"/>
              <w:rPr>
                <w:rFonts w:ascii="Calibri" w:hAnsi="Calibri"/>
                <w:b/>
                <w:bCs/>
                <w:i/>
                <w:iCs/>
                <w:szCs w:val="22"/>
              </w:rPr>
            </w:pPr>
            <w:r>
              <w:rPr>
                <w:rFonts w:ascii="Calibri" w:hAnsi="Calibri"/>
                <w:b/>
                <w:bCs/>
                <w:i/>
                <w:iCs/>
                <w:szCs w:val="22"/>
              </w:rPr>
              <w:t xml:space="preserve"> Undergraduate </w:t>
            </w:r>
          </w:p>
        </w:tc>
        <w:tc>
          <w:tcPr>
            <w:tcW w:w="1209" w:type="dxa"/>
            <w:tcBorders>
              <w:top w:val="nil"/>
              <w:left w:val="nil"/>
              <w:bottom w:val="nil"/>
              <w:right w:val="single" w:sz="4" w:space="0" w:color="auto"/>
            </w:tcBorders>
            <w:shd w:val="clear" w:color="000000" w:fill="FFFFFF"/>
            <w:tcMar>
              <w:top w:w="15" w:type="dxa"/>
              <w:left w:w="15" w:type="dxa"/>
              <w:bottom w:w="0" w:type="dxa"/>
              <w:right w:w="15" w:type="dxa"/>
            </w:tcMar>
            <w:vAlign w:val="bottom"/>
            <w:hideMark/>
          </w:tcPr>
          <w:p w14:paraId="5D21EC1B" w14:textId="77777777" w:rsidR="00AE5F76" w:rsidRDefault="00AE5F76">
            <w:pPr>
              <w:jc w:val="right"/>
              <w:rPr>
                <w:rFonts w:ascii="Calibri" w:hAnsi="Calibri"/>
                <w:b/>
                <w:bCs/>
                <w:i/>
                <w:iCs/>
                <w:szCs w:val="22"/>
              </w:rPr>
            </w:pPr>
            <w:r>
              <w:rPr>
                <w:rFonts w:ascii="Calibri" w:hAnsi="Calibri"/>
                <w:b/>
                <w:bCs/>
                <w:i/>
                <w:iCs/>
                <w:szCs w:val="22"/>
              </w:rPr>
              <w:t xml:space="preserve"> Graduate </w:t>
            </w:r>
          </w:p>
        </w:tc>
      </w:tr>
      <w:tr w:rsidR="00AE5F76" w14:paraId="378326B2" w14:textId="77777777" w:rsidTr="00AE5F76">
        <w:trPr>
          <w:trHeight w:val="315"/>
          <w:jc w:val="center"/>
        </w:trPr>
        <w:tc>
          <w:tcPr>
            <w:tcW w:w="0" w:type="auto"/>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35AE7ABB" w14:textId="77777777" w:rsidR="00AE5F76" w:rsidRDefault="00AE5F76">
            <w:pPr>
              <w:jc w:val="center"/>
              <w:rPr>
                <w:rFonts w:ascii="Calibri" w:hAnsi="Calibri"/>
                <w:b/>
                <w:bCs/>
                <w:sz w:val="20"/>
                <w:szCs w:val="20"/>
              </w:rPr>
            </w:pPr>
            <w:r>
              <w:rPr>
                <w:rFonts w:ascii="Calibri" w:hAnsi="Calibri"/>
                <w:b/>
                <w:bCs/>
                <w:sz w:val="20"/>
                <w:szCs w:val="20"/>
              </w:rPr>
              <w:t>1</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1A72231" w14:textId="77777777" w:rsidR="00AE5F76" w:rsidRDefault="00AE5F76">
            <w:pPr>
              <w:rPr>
                <w:rFonts w:ascii="Calibri" w:hAnsi="Calibri"/>
                <w:color w:val="000000"/>
                <w:sz w:val="20"/>
                <w:szCs w:val="20"/>
              </w:rPr>
            </w:pPr>
            <w:r>
              <w:rPr>
                <w:rFonts w:ascii="Calibri" w:hAnsi="Calibri"/>
                <w:color w:val="000000"/>
                <w:sz w:val="20"/>
                <w:szCs w:val="20"/>
              </w:rPr>
              <w:t xml:space="preserve">                      23.00 </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03D76581" w14:textId="77777777" w:rsidR="00AE5F76" w:rsidRDefault="00AE5F76">
            <w:pPr>
              <w:rPr>
                <w:rFonts w:ascii="Calibri" w:hAnsi="Calibri"/>
                <w:color w:val="000000"/>
                <w:sz w:val="20"/>
                <w:szCs w:val="20"/>
              </w:rPr>
            </w:pPr>
            <w:r>
              <w:rPr>
                <w:rFonts w:ascii="Calibri" w:hAnsi="Calibri"/>
                <w:color w:val="000000"/>
                <w:sz w:val="20"/>
                <w:szCs w:val="20"/>
              </w:rPr>
              <w:t xml:space="preserve">             23.00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795DC613"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1D84C5CB"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09A4ACC7"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0D851255"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451CF7A8" w14:textId="77777777" w:rsidR="00AE5F76" w:rsidRDefault="00AE5F76">
            <w:pPr>
              <w:rPr>
                <w:rFonts w:ascii="Calibri" w:hAnsi="Calibri"/>
                <w:color w:val="000000"/>
                <w:sz w:val="20"/>
                <w:szCs w:val="20"/>
              </w:rPr>
            </w:pPr>
            <w:r>
              <w:rPr>
                <w:rFonts w:ascii="Calibri" w:hAnsi="Calibri"/>
                <w:color w:val="000000"/>
                <w:sz w:val="20"/>
                <w:szCs w:val="20"/>
              </w:rPr>
              <w:t xml:space="preserve">                            -   </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0355CB64"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0D686943"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799AF013" w14:textId="77777777" w:rsidR="00AE5F76" w:rsidRDefault="00AE5F76">
            <w:pPr>
              <w:rPr>
                <w:rFonts w:ascii="Calibri" w:hAnsi="Calibri"/>
                <w:color w:val="000000"/>
                <w:sz w:val="20"/>
                <w:szCs w:val="20"/>
              </w:rPr>
            </w:pPr>
            <w:r>
              <w:rPr>
                <w:rFonts w:ascii="Calibri" w:hAnsi="Calibri"/>
                <w:color w:val="000000"/>
                <w:sz w:val="20"/>
                <w:szCs w:val="20"/>
              </w:rPr>
              <w:t xml:space="preserve">                   205.50 </w:t>
            </w:r>
          </w:p>
        </w:tc>
        <w:tc>
          <w:tcPr>
            <w:tcW w:w="1209"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hideMark/>
          </w:tcPr>
          <w:p w14:paraId="47F906B5" w14:textId="77777777" w:rsidR="00AE5F76" w:rsidRDefault="00AE5F76">
            <w:pPr>
              <w:rPr>
                <w:rFonts w:ascii="Calibri" w:hAnsi="Calibri"/>
                <w:color w:val="000000"/>
                <w:sz w:val="20"/>
                <w:szCs w:val="20"/>
              </w:rPr>
            </w:pPr>
            <w:r>
              <w:rPr>
                <w:rFonts w:ascii="Calibri" w:hAnsi="Calibri"/>
                <w:color w:val="000000"/>
                <w:sz w:val="20"/>
                <w:szCs w:val="20"/>
              </w:rPr>
              <w:t xml:space="preserve">           205.50 </w:t>
            </w:r>
          </w:p>
        </w:tc>
      </w:tr>
      <w:tr w:rsidR="00AE5F76" w14:paraId="3A277E28"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3D704571" w14:textId="77777777" w:rsidR="00AE5F76" w:rsidRDefault="00AE5F76">
            <w:pPr>
              <w:jc w:val="center"/>
              <w:rPr>
                <w:rFonts w:ascii="Calibri" w:hAnsi="Calibri"/>
                <w:b/>
                <w:bCs/>
                <w:sz w:val="20"/>
                <w:szCs w:val="20"/>
              </w:rPr>
            </w:pPr>
            <w:r>
              <w:rPr>
                <w:rFonts w:ascii="Calibri" w:hAnsi="Calibri"/>
                <w:b/>
                <w:bCs/>
                <w:sz w:val="20"/>
                <w:szCs w:val="2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4E488" w14:textId="77777777" w:rsidR="00AE5F76" w:rsidRDefault="00AE5F76">
            <w:pPr>
              <w:rPr>
                <w:rFonts w:ascii="Calibri" w:hAnsi="Calibri"/>
                <w:color w:val="000000"/>
                <w:sz w:val="20"/>
                <w:szCs w:val="20"/>
              </w:rPr>
            </w:pPr>
            <w:r>
              <w:rPr>
                <w:rFonts w:ascii="Calibri" w:hAnsi="Calibri"/>
                <w:color w:val="000000"/>
                <w:sz w:val="20"/>
                <w:szCs w:val="20"/>
              </w:rPr>
              <w:t xml:space="preserve">                      25.00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D5FFF22" w14:textId="77777777" w:rsidR="00AE5F76" w:rsidRDefault="00AE5F76">
            <w:pPr>
              <w:rPr>
                <w:rFonts w:ascii="Calibri" w:hAnsi="Calibri"/>
                <w:color w:val="000000"/>
                <w:sz w:val="20"/>
                <w:szCs w:val="20"/>
              </w:rPr>
            </w:pPr>
            <w:r>
              <w:rPr>
                <w:rFonts w:ascii="Calibri" w:hAnsi="Calibri"/>
                <w:color w:val="000000"/>
                <w:sz w:val="20"/>
                <w:szCs w:val="20"/>
              </w:rPr>
              <w:t xml:space="preserve">             25.00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66CBB15D"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F6019EC"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4CF441C"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6E74A3AF"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BB875A6" w14:textId="77777777" w:rsidR="00AE5F76" w:rsidRDefault="00AE5F76">
            <w:pPr>
              <w:rPr>
                <w:rFonts w:ascii="Calibri" w:hAnsi="Calibri"/>
                <w:color w:val="000000"/>
                <w:sz w:val="20"/>
                <w:szCs w:val="20"/>
              </w:rPr>
            </w:pPr>
            <w:r>
              <w:rPr>
                <w:rFonts w:ascii="Calibri" w:hAnsi="Calibri"/>
                <w:color w:val="000000"/>
                <w:sz w:val="20"/>
                <w:szCs w:val="20"/>
              </w:rPr>
              <w:t xml:space="preserve">                            -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E862B8F"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3C41E703"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74844AB" w14:textId="77777777" w:rsidR="00AE5F76" w:rsidRDefault="00AE5F76">
            <w:pPr>
              <w:rPr>
                <w:rFonts w:ascii="Calibri" w:hAnsi="Calibri"/>
                <w:color w:val="000000"/>
                <w:sz w:val="20"/>
                <w:szCs w:val="20"/>
              </w:rPr>
            </w:pPr>
            <w:r>
              <w:rPr>
                <w:rFonts w:ascii="Calibri" w:hAnsi="Calibri"/>
                <w:color w:val="000000"/>
                <w:sz w:val="20"/>
                <w:szCs w:val="20"/>
              </w:rPr>
              <w:t xml:space="preserve">                   207.50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A7F2126" w14:textId="77777777" w:rsidR="00AE5F76" w:rsidRDefault="00AE5F76">
            <w:pPr>
              <w:rPr>
                <w:rFonts w:ascii="Calibri" w:hAnsi="Calibri"/>
                <w:color w:val="000000"/>
                <w:sz w:val="20"/>
                <w:szCs w:val="20"/>
              </w:rPr>
            </w:pPr>
            <w:r>
              <w:rPr>
                <w:rFonts w:ascii="Calibri" w:hAnsi="Calibri"/>
                <w:color w:val="000000"/>
                <w:sz w:val="20"/>
                <w:szCs w:val="20"/>
              </w:rPr>
              <w:t xml:space="preserve">           207.50 </w:t>
            </w:r>
          </w:p>
        </w:tc>
      </w:tr>
      <w:tr w:rsidR="00AE5F76" w14:paraId="07783D17"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181F85B9" w14:textId="77777777" w:rsidR="00AE5F76" w:rsidRDefault="00AE5F76">
            <w:pPr>
              <w:jc w:val="center"/>
              <w:rPr>
                <w:rFonts w:ascii="Calibri" w:hAnsi="Calibri"/>
                <w:b/>
                <w:bCs/>
                <w:sz w:val="20"/>
                <w:szCs w:val="20"/>
              </w:rPr>
            </w:pPr>
            <w:r>
              <w:rPr>
                <w:rFonts w:ascii="Calibri" w:hAnsi="Calibri"/>
                <w:b/>
                <w:bCs/>
                <w:sz w:val="20"/>
                <w:szCs w:val="2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59BEBC" w14:textId="77777777" w:rsidR="00AE5F76" w:rsidRDefault="00AE5F76">
            <w:pPr>
              <w:rPr>
                <w:rFonts w:ascii="Calibri" w:hAnsi="Calibri"/>
                <w:color w:val="000000"/>
                <w:sz w:val="20"/>
                <w:szCs w:val="20"/>
              </w:rPr>
            </w:pPr>
            <w:r>
              <w:rPr>
                <w:rFonts w:ascii="Calibri" w:hAnsi="Calibri"/>
                <w:color w:val="000000"/>
                <w:sz w:val="20"/>
                <w:szCs w:val="20"/>
              </w:rPr>
              <w:t xml:space="preserve">                      27.00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9F6F26F" w14:textId="77777777" w:rsidR="00AE5F76" w:rsidRDefault="00AE5F76">
            <w:pPr>
              <w:rPr>
                <w:rFonts w:ascii="Calibri" w:hAnsi="Calibri"/>
                <w:color w:val="000000"/>
                <w:sz w:val="20"/>
                <w:szCs w:val="20"/>
              </w:rPr>
            </w:pPr>
            <w:r>
              <w:rPr>
                <w:rFonts w:ascii="Calibri" w:hAnsi="Calibri"/>
                <w:color w:val="000000"/>
                <w:sz w:val="20"/>
                <w:szCs w:val="20"/>
              </w:rPr>
              <w:t xml:space="preserve">             27.00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41BF78BF"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9880ADB"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3155ABD"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0546BCB6"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5C24080" w14:textId="77777777" w:rsidR="00AE5F76" w:rsidRDefault="00AE5F76">
            <w:pPr>
              <w:rPr>
                <w:rFonts w:ascii="Calibri" w:hAnsi="Calibri"/>
                <w:color w:val="000000"/>
                <w:sz w:val="20"/>
                <w:szCs w:val="20"/>
              </w:rPr>
            </w:pPr>
            <w:r>
              <w:rPr>
                <w:rFonts w:ascii="Calibri" w:hAnsi="Calibri"/>
                <w:color w:val="000000"/>
                <w:sz w:val="20"/>
                <w:szCs w:val="20"/>
              </w:rPr>
              <w:t xml:space="preserve">                            -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83132B0"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627248A7"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55A09C8" w14:textId="77777777" w:rsidR="00AE5F76" w:rsidRDefault="00AE5F76">
            <w:pPr>
              <w:rPr>
                <w:rFonts w:ascii="Calibri" w:hAnsi="Calibri"/>
                <w:color w:val="000000"/>
                <w:sz w:val="20"/>
                <w:szCs w:val="20"/>
              </w:rPr>
            </w:pPr>
            <w:r>
              <w:rPr>
                <w:rFonts w:ascii="Calibri" w:hAnsi="Calibri"/>
                <w:color w:val="000000"/>
                <w:sz w:val="20"/>
                <w:szCs w:val="20"/>
              </w:rPr>
              <w:t xml:space="preserve">                   209.50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A3612B2" w14:textId="77777777" w:rsidR="00AE5F76" w:rsidRDefault="00AE5F76">
            <w:pPr>
              <w:rPr>
                <w:rFonts w:ascii="Calibri" w:hAnsi="Calibri"/>
                <w:color w:val="000000"/>
                <w:sz w:val="20"/>
                <w:szCs w:val="20"/>
              </w:rPr>
            </w:pPr>
            <w:r>
              <w:rPr>
                <w:rFonts w:ascii="Calibri" w:hAnsi="Calibri"/>
                <w:color w:val="000000"/>
                <w:sz w:val="20"/>
                <w:szCs w:val="20"/>
              </w:rPr>
              <w:t xml:space="preserve">           209.50 </w:t>
            </w:r>
          </w:p>
        </w:tc>
      </w:tr>
      <w:tr w:rsidR="00AE5F76" w14:paraId="1B69A070"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2ACC49BD" w14:textId="77777777" w:rsidR="00AE5F76" w:rsidRDefault="00AE5F76">
            <w:pPr>
              <w:jc w:val="center"/>
              <w:rPr>
                <w:rFonts w:ascii="Calibri" w:hAnsi="Calibri"/>
                <w:b/>
                <w:bCs/>
                <w:sz w:val="20"/>
                <w:szCs w:val="20"/>
              </w:rPr>
            </w:pPr>
            <w:r>
              <w:rPr>
                <w:rFonts w:ascii="Calibri" w:hAnsi="Calibri"/>
                <w:b/>
                <w:bCs/>
                <w:sz w:val="20"/>
                <w:szCs w:val="2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359BD7" w14:textId="77777777" w:rsidR="00AE5F76" w:rsidRDefault="00AE5F76">
            <w:pPr>
              <w:rPr>
                <w:rFonts w:ascii="Calibri" w:hAnsi="Calibri"/>
                <w:color w:val="000000"/>
                <w:sz w:val="20"/>
                <w:szCs w:val="20"/>
              </w:rPr>
            </w:pPr>
            <w:r>
              <w:rPr>
                <w:rFonts w:ascii="Calibri" w:hAnsi="Calibri"/>
                <w:color w:val="000000"/>
                <w:sz w:val="20"/>
                <w:szCs w:val="20"/>
              </w:rPr>
              <w:t xml:space="preserve">                      29.00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5A8928B" w14:textId="77777777" w:rsidR="00AE5F76" w:rsidRDefault="00AE5F76">
            <w:pPr>
              <w:rPr>
                <w:rFonts w:ascii="Calibri" w:hAnsi="Calibri"/>
                <w:color w:val="000000"/>
                <w:sz w:val="20"/>
                <w:szCs w:val="20"/>
              </w:rPr>
            </w:pPr>
            <w:r>
              <w:rPr>
                <w:rFonts w:ascii="Calibri" w:hAnsi="Calibri"/>
                <w:color w:val="000000"/>
                <w:sz w:val="20"/>
                <w:szCs w:val="20"/>
              </w:rPr>
              <w:t xml:space="preserve">             29.00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5F0AE00C"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F420872"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34AE051"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4A8C7AA3"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A4998AF" w14:textId="77777777" w:rsidR="00AE5F76" w:rsidRDefault="00AE5F76">
            <w:pPr>
              <w:rPr>
                <w:rFonts w:ascii="Calibri" w:hAnsi="Calibri"/>
                <w:color w:val="000000"/>
                <w:sz w:val="20"/>
                <w:szCs w:val="20"/>
              </w:rPr>
            </w:pPr>
            <w:r>
              <w:rPr>
                <w:rFonts w:ascii="Calibri" w:hAnsi="Calibri"/>
                <w:color w:val="000000"/>
                <w:sz w:val="20"/>
                <w:szCs w:val="20"/>
              </w:rPr>
              <w:t xml:space="preserve">                            -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4732068"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0FAEFD6A"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73C97DC" w14:textId="77777777" w:rsidR="00AE5F76" w:rsidRDefault="00AE5F76">
            <w:pPr>
              <w:rPr>
                <w:rFonts w:ascii="Calibri" w:hAnsi="Calibri"/>
                <w:color w:val="000000"/>
                <w:sz w:val="20"/>
                <w:szCs w:val="20"/>
              </w:rPr>
            </w:pPr>
            <w:r>
              <w:rPr>
                <w:rFonts w:ascii="Calibri" w:hAnsi="Calibri"/>
                <w:color w:val="000000"/>
                <w:sz w:val="20"/>
                <w:szCs w:val="20"/>
              </w:rPr>
              <w:t xml:space="preserve">                   211.50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A9AB047" w14:textId="77777777" w:rsidR="00AE5F76" w:rsidRDefault="00AE5F76">
            <w:pPr>
              <w:rPr>
                <w:rFonts w:ascii="Calibri" w:hAnsi="Calibri"/>
                <w:color w:val="000000"/>
                <w:sz w:val="20"/>
                <w:szCs w:val="20"/>
              </w:rPr>
            </w:pPr>
            <w:r>
              <w:rPr>
                <w:rFonts w:ascii="Calibri" w:hAnsi="Calibri"/>
                <w:color w:val="000000"/>
                <w:sz w:val="20"/>
                <w:szCs w:val="20"/>
              </w:rPr>
              <w:t xml:space="preserve">           211.50 </w:t>
            </w:r>
          </w:p>
        </w:tc>
      </w:tr>
      <w:tr w:rsidR="00AE5F76" w14:paraId="23570C9A"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3E3C99EA" w14:textId="77777777" w:rsidR="00AE5F76" w:rsidRDefault="00AE5F76">
            <w:pPr>
              <w:jc w:val="center"/>
              <w:rPr>
                <w:rFonts w:ascii="Calibri" w:hAnsi="Calibri"/>
                <w:b/>
                <w:bCs/>
                <w:sz w:val="20"/>
                <w:szCs w:val="20"/>
              </w:rPr>
            </w:pPr>
            <w:r>
              <w:rPr>
                <w:rFonts w:ascii="Calibri" w:hAnsi="Calibri"/>
                <w:b/>
                <w:bCs/>
                <w:sz w:val="20"/>
                <w:szCs w:val="2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E98CCF" w14:textId="77777777" w:rsidR="00AE5F76" w:rsidRDefault="00AE5F76">
            <w:pPr>
              <w:rPr>
                <w:rFonts w:ascii="Calibri" w:hAnsi="Calibri"/>
                <w:color w:val="000000"/>
                <w:sz w:val="20"/>
                <w:szCs w:val="20"/>
              </w:rPr>
            </w:pPr>
            <w:r>
              <w:rPr>
                <w:rFonts w:ascii="Calibri" w:hAnsi="Calibri"/>
                <w:color w:val="000000"/>
                <w:sz w:val="20"/>
                <w:szCs w:val="20"/>
              </w:rPr>
              <w:t xml:space="preserve">                      31.00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BCBC321" w14:textId="77777777" w:rsidR="00AE5F76" w:rsidRDefault="00AE5F76">
            <w:pPr>
              <w:rPr>
                <w:rFonts w:ascii="Calibri" w:hAnsi="Calibri"/>
                <w:color w:val="000000"/>
                <w:sz w:val="20"/>
                <w:szCs w:val="20"/>
              </w:rPr>
            </w:pPr>
            <w:r>
              <w:rPr>
                <w:rFonts w:ascii="Calibri" w:hAnsi="Calibri"/>
                <w:color w:val="000000"/>
                <w:sz w:val="20"/>
                <w:szCs w:val="20"/>
              </w:rPr>
              <w:t xml:space="preserve">             31.00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3309B257"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60B75EB"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0B788B2" w14:textId="77777777" w:rsidR="00AE5F76" w:rsidRDefault="00AE5F76">
            <w:pPr>
              <w:rPr>
                <w:rFonts w:ascii="Calibri" w:hAnsi="Calibri"/>
                <w:color w:val="000000"/>
                <w:sz w:val="20"/>
                <w:szCs w:val="20"/>
              </w:rPr>
            </w:pPr>
            <w:r>
              <w:rPr>
                <w:rFonts w:ascii="Calibri" w:hAnsi="Calibri"/>
                <w:color w:val="000000"/>
                <w:sz w:val="20"/>
                <w:szCs w:val="20"/>
              </w:rPr>
              <w:t xml:space="preserve">             182.50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2C03E3B7"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C43AF29" w14:textId="77777777" w:rsidR="00AE5F76" w:rsidRDefault="00AE5F76">
            <w:pPr>
              <w:rPr>
                <w:rFonts w:ascii="Calibri" w:hAnsi="Calibri"/>
                <w:color w:val="000000"/>
                <w:sz w:val="20"/>
                <w:szCs w:val="20"/>
              </w:rPr>
            </w:pPr>
            <w:r>
              <w:rPr>
                <w:rFonts w:ascii="Calibri" w:hAnsi="Calibri"/>
                <w:color w:val="000000"/>
                <w:sz w:val="20"/>
                <w:szCs w:val="20"/>
              </w:rPr>
              <w:t xml:space="preserve">                            -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BA37CE7"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09FB8EED"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2A6C7E2" w14:textId="77777777" w:rsidR="00AE5F76" w:rsidRDefault="00AE5F76">
            <w:pPr>
              <w:rPr>
                <w:rFonts w:ascii="Calibri" w:hAnsi="Calibri"/>
                <w:color w:val="000000"/>
                <w:sz w:val="20"/>
                <w:szCs w:val="20"/>
              </w:rPr>
            </w:pPr>
            <w:r>
              <w:rPr>
                <w:rFonts w:ascii="Calibri" w:hAnsi="Calibri"/>
                <w:color w:val="000000"/>
                <w:sz w:val="20"/>
                <w:szCs w:val="20"/>
              </w:rPr>
              <w:t xml:space="preserve">                   213.50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34EDBE8" w14:textId="77777777" w:rsidR="00AE5F76" w:rsidRDefault="00AE5F76">
            <w:pPr>
              <w:rPr>
                <w:rFonts w:ascii="Calibri" w:hAnsi="Calibri"/>
                <w:color w:val="000000"/>
                <w:sz w:val="20"/>
                <w:szCs w:val="20"/>
              </w:rPr>
            </w:pPr>
            <w:r>
              <w:rPr>
                <w:rFonts w:ascii="Calibri" w:hAnsi="Calibri"/>
                <w:color w:val="000000"/>
                <w:sz w:val="20"/>
                <w:szCs w:val="20"/>
              </w:rPr>
              <w:t xml:space="preserve">           213.50 </w:t>
            </w:r>
          </w:p>
        </w:tc>
      </w:tr>
      <w:tr w:rsidR="00AE5F76" w14:paraId="6AED7916"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5D8B480F" w14:textId="77777777" w:rsidR="00AE5F76" w:rsidRDefault="00AE5F76">
            <w:pPr>
              <w:jc w:val="center"/>
              <w:rPr>
                <w:rFonts w:ascii="Calibri" w:hAnsi="Calibri"/>
                <w:b/>
                <w:bCs/>
                <w:sz w:val="20"/>
                <w:szCs w:val="20"/>
              </w:rPr>
            </w:pPr>
            <w:r>
              <w:rPr>
                <w:rFonts w:ascii="Calibri" w:hAnsi="Calibri"/>
                <w:b/>
                <w:bCs/>
                <w:sz w:val="20"/>
                <w:szCs w:val="2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5858AA" w14:textId="77777777" w:rsidR="00AE5F76" w:rsidRDefault="00AE5F76">
            <w:pPr>
              <w:rPr>
                <w:rFonts w:ascii="Calibri" w:hAnsi="Calibri"/>
                <w:color w:val="000000"/>
                <w:sz w:val="20"/>
                <w:szCs w:val="20"/>
              </w:rPr>
            </w:pPr>
            <w:r>
              <w:rPr>
                <w:rFonts w:ascii="Calibri" w:hAnsi="Calibri"/>
                <w:color w:val="000000"/>
                <w:sz w:val="20"/>
                <w:szCs w:val="20"/>
              </w:rPr>
              <w:t xml:space="preserve">                      33.00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F4E5D35" w14:textId="77777777" w:rsidR="00AE5F76" w:rsidRDefault="00AE5F76">
            <w:pPr>
              <w:rPr>
                <w:rFonts w:ascii="Calibri" w:hAnsi="Calibri"/>
                <w:color w:val="000000"/>
                <w:sz w:val="20"/>
                <w:szCs w:val="20"/>
              </w:rPr>
            </w:pPr>
            <w:r>
              <w:rPr>
                <w:rFonts w:ascii="Calibri" w:hAnsi="Calibri"/>
                <w:color w:val="000000"/>
                <w:sz w:val="20"/>
                <w:szCs w:val="20"/>
              </w:rPr>
              <w:t xml:space="preserve">             33.00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6C5A7FDC"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6E8114E"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FECDD3C"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F04952" w14:textId="77777777" w:rsidR="00AE5F76" w:rsidRDefault="00AE5F76">
            <w:pPr>
              <w:rPr>
                <w:rFonts w:ascii="Calibri" w:hAnsi="Calibri"/>
                <w:color w:val="000000"/>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939B8D0"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673DE4E"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76240889"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F68646E" w14:textId="77777777" w:rsidR="00AE5F76" w:rsidRDefault="00AE5F76">
            <w:pPr>
              <w:rPr>
                <w:rFonts w:ascii="Calibri" w:hAnsi="Calibri"/>
                <w:color w:val="000000"/>
                <w:sz w:val="20"/>
                <w:szCs w:val="20"/>
              </w:rPr>
            </w:pPr>
            <w:r>
              <w:rPr>
                <w:rFonts w:ascii="Calibri" w:hAnsi="Calibri"/>
                <w:color w:val="000000"/>
                <w:sz w:val="20"/>
                <w:szCs w:val="20"/>
              </w:rPr>
              <w:t xml:space="preserve">                   528.00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2E1C91F" w14:textId="77777777" w:rsidR="00AE5F76" w:rsidRDefault="00AE5F76">
            <w:pPr>
              <w:rPr>
                <w:rFonts w:ascii="Calibri" w:hAnsi="Calibri"/>
                <w:color w:val="000000"/>
                <w:sz w:val="20"/>
                <w:szCs w:val="20"/>
              </w:rPr>
            </w:pPr>
            <w:r>
              <w:rPr>
                <w:rFonts w:ascii="Calibri" w:hAnsi="Calibri"/>
                <w:color w:val="000000"/>
                <w:sz w:val="20"/>
                <w:szCs w:val="20"/>
              </w:rPr>
              <w:t xml:space="preserve">           528.00 </w:t>
            </w:r>
          </w:p>
        </w:tc>
      </w:tr>
      <w:tr w:rsidR="00AE5F76" w14:paraId="580D6F75"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334B1E21" w14:textId="77777777" w:rsidR="00AE5F76" w:rsidRDefault="00AE5F76">
            <w:pPr>
              <w:jc w:val="center"/>
              <w:rPr>
                <w:rFonts w:ascii="Calibri" w:hAnsi="Calibri"/>
                <w:b/>
                <w:bCs/>
                <w:sz w:val="20"/>
                <w:szCs w:val="20"/>
              </w:rPr>
            </w:pPr>
            <w:r>
              <w:rPr>
                <w:rFonts w:ascii="Calibri" w:hAnsi="Calibri"/>
                <w:b/>
                <w:bCs/>
                <w:sz w:val="20"/>
                <w:szCs w:val="2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CFA96F" w14:textId="77777777" w:rsidR="00AE5F76" w:rsidRDefault="00AE5F76">
            <w:pPr>
              <w:rPr>
                <w:rFonts w:ascii="Calibri" w:hAnsi="Calibri"/>
                <w:color w:val="000000"/>
                <w:sz w:val="20"/>
                <w:szCs w:val="20"/>
              </w:rPr>
            </w:pPr>
            <w:r>
              <w:rPr>
                <w:rFonts w:ascii="Calibri" w:hAnsi="Calibri"/>
                <w:color w:val="000000"/>
                <w:sz w:val="20"/>
                <w:szCs w:val="20"/>
              </w:rPr>
              <w:t xml:space="preserve">                      35.00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0A3F22C" w14:textId="77777777" w:rsidR="00AE5F76" w:rsidRDefault="00AE5F76">
            <w:pPr>
              <w:rPr>
                <w:rFonts w:ascii="Calibri" w:hAnsi="Calibri"/>
                <w:color w:val="000000"/>
                <w:sz w:val="20"/>
                <w:szCs w:val="20"/>
              </w:rPr>
            </w:pPr>
            <w:r>
              <w:rPr>
                <w:rFonts w:ascii="Calibri" w:hAnsi="Calibri"/>
                <w:color w:val="000000"/>
                <w:sz w:val="20"/>
                <w:szCs w:val="20"/>
              </w:rPr>
              <w:t xml:space="preserve">             35.00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1C8E5C93"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C823E09"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B928F73"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509600C0"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5A794A7"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8FE8869"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47C3F165"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31093F2" w14:textId="77777777" w:rsidR="00AE5F76" w:rsidRDefault="00AE5F76">
            <w:pPr>
              <w:rPr>
                <w:rFonts w:ascii="Calibri" w:hAnsi="Calibri"/>
                <w:color w:val="000000"/>
                <w:sz w:val="20"/>
                <w:szCs w:val="20"/>
              </w:rPr>
            </w:pPr>
            <w:r>
              <w:rPr>
                <w:rFonts w:ascii="Calibri" w:hAnsi="Calibri"/>
                <w:color w:val="000000"/>
                <w:sz w:val="20"/>
                <w:szCs w:val="20"/>
              </w:rPr>
              <w:t xml:space="preserve">                   530.00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E088619" w14:textId="77777777" w:rsidR="00AE5F76" w:rsidRDefault="00AE5F76">
            <w:pPr>
              <w:rPr>
                <w:rFonts w:ascii="Calibri" w:hAnsi="Calibri"/>
                <w:color w:val="000000"/>
                <w:sz w:val="20"/>
                <w:szCs w:val="20"/>
              </w:rPr>
            </w:pPr>
            <w:r>
              <w:rPr>
                <w:rFonts w:ascii="Calibri" w:hAnsi="Calibri"/>
                <w:color w:val="000000"/>
                <w:sz w:val="20"/>
                <w:szCs w:val="20"/>
              </w:rPr>
              <w:t xml:space="preserve">           530.00 </w:t>
            </w:r>
          </w:p>
        </w:tc>
      </w:tr>
      <w:tr w:rsidR="00AE5F76" w14:paraId="75F169AE"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1679B772" w14:textId="77777777" w:rsidR="00AE5F76" w:rsidRDefault="00AE5F76">
            <w:pPr>
              <w:jc w:val="center"/>
              <w:rPr>
                <w:rFonts w:ascii="Calibri" w:hAnsi="Calibri"/>
                <w:b/>
                <w:bCs/>
                <w:sz w:val="20"/>
                <w:szCs w:val="20"/>
              </w:rPr>
            </w:pPr>
            <w:r>
              <w:rPr>
                <w:rFonts w:ascii="Calibri" w:hAnsi="Calibri"/>
                <w:b/>
                <w:bCs/>
                <w:sz w:val="20"/>
                <w:szCs w:val="2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7F3F05" w14:textId="77777777" w:rsidR="00AE5F76" w:rsidRDefault="00AE5F76">
            <w:pPr>
              <w:rPr>
                <w:rFonts w:ascii="Calibri" w:hAnsi="Calibri"/>
                <w:color w:val="000000"/>
                <w:sz w:val="20"/>
                <w:szCs w:val="20"/>
              </w:rPr>
            </w:pPr>
            <w:r>
              <w:rPr>
                <w:rFonts w:ascii="Calibri" w:hAnsi="Calibri"/>
                <w:color w:val="000000"/>
                <w:sz w:val="20"/>
                <w:szCs w:val="20"/>
              </w:rPr>
              <w:t xml:space="preserve">                      37.00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AA17BE7" w14:textId="77777777" w:rsidR="00AE5F76" w:rsidRDefault="00AE5F76">
            <w:pPr>
              <w:rPr>
                <w:rFonts w:ascii="Calibri" w:hAnsi="Calibri"/>
                <w:color w:val="000000"/>
                <w:sz w:val="20"/>
                <w:szCs w:val="20"/>
              </w:rPr>
            </w:pPr>
            <w:r>
              <w:rPr>
                <w:rFonts w:ascii="Calibri" w:hAnsi="Calibri"/>
                <w:color w:val="000000"/>
                <w:sz w:val="20"/>
                <w:szCs w:val="20"/>
              </w:rPr>
              <w:t xml:space="preserve">             37.00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501B4BFF"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23F51E0"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234C8DB"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0E0A422B"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A991F79"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F59331C"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3C0A7DF5"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98EF019" w14:textId="77777777" w:rsidR="00AE5F76" w:rsidRDefault="00AE5F76">
            <w:pPr>
              <w:rPr>
                <w:rFonts w:ascii="Calibri" w:hAnsi="Calibri"/>
                <w:color w:val="000000"/>
                <w:sz w:val="20"/>
                <w:szCs w:val="20"/>
              </w:rPr>
            </w:pPr>
            <w:r>
              <w:rPr>
                <w:rFonts w:ascii="Calibri" w:hAnsi="Calibri"/>
                <w:color w:val="000000"/>
                <w:sz w:val="20"/>
                <w:szCs w:val="20"/>
              </w:rPr>
              <w:t xml:space="preserve">                   532.00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B9DF5F3" w14:textId="77777777" w:rsidR="00AE5F76" w:rsidRDefault="00AE5F76">
            <w:pPr>
              <w:rPr>
                <w:rFonts w:ascii="Calibri" w:hAnsi="Calibri"/>
                <w:color w:val="000000"/>
                <w:sz w:val="20"/>
                <w:szCs w:val="20"/>
              </w:rPr>
            </w:pPr>
            <w:r>
              <w:rPr>
                <w:rFonts w:ascii="Calibri" w:hAnsi="Calibri"/>
                <w:color w:val="000000"/>
                <w:sz w:val="20"/>
                <w:szCs w:val="20"/>
              </w:rPr>
              <w:t xml:space="preserve">           532.00 </w:t>
            </w:r>
          </w:p>
        </w:tc>
      </w:tr>
      <w:tr w:rsidR="00AE5F76" w14:paraId="12DCB53E"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49702289" w14:textId="77777777" w:rsidR="00AE5F76" w:rsidRDefault="00AE5F76">
            <w:pPr>
              <w:jc w:val="center"/>
              <w:rPr>
                <w:rFonts w:ascii="Calibri" w:hAnsi="Calibri"/>
                <w:b/>
                <w:bCs/>
                <w:sz w:val="20"/>
                <w:szCs w:val="20"/>
              </w:rPr>
            </w:pPr>
            <w:r>
              <w:rPr>
                <w:rFonts w:ascii="Calibri" w:hAnsi="Calibri"/>
                <w:b/>
                <w:bCs/>
                <w:sz w:val="20"/>
                <w:szCs w:val="2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E9B204" w14:textId="77777777" w:rsidR="00AE5F76" w:rsidRDefault="00AE5F76">
            <w:pPr>
              <w:rPr>
                <w:rFonts w:ascii="Calibri" w:hAnsi="Calibri"/>
                <w:color w:val="000000"/>
                <w:sz w:val="20"/>
                <w:szCs w:val="20"/>
              </w:rPr>
            </w:pPr>
            <w:r>
              <w:rPr>
                <w:rFonts w:ascii="Calibri" w:hAnsi="Calibri"/>
                <w:color w:val="000000"/>
                <w:sz w:val="20"/>
                <w:szCs w:val="20"/>
              </w:rPr>
              <w:t xml:space="preserve">                      39.00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95F31E6" w14:textId="77777777" w:rsidR="00AE5F76" w:rsidRDefault="00AE5F76">
            <w:pPr>
              <w:rPr>
                <w:rFonts w:ascii="Calibri" w:hAnsi="Calibri"/>
                <w:color w:val="000000"/>
                <w:sz w:val="20"/>
                <w:szCs w:val="20"/>
              </w:rPr>
            </w:pPr>
            <w:r>
              <w:rPr>
                <w:rFonts w:ascii="Calibri" w:hAnsi="Calibri"/>
                <w:color w:val="000000"/>
                <w:sz w:val="20"/>
                <w:szCs w:val="20"/>
              </w:rPr>
              <w:t xml:space="preserve">             39.00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140A1482"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1C16B6F"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443619B"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380460CF"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B02B573"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1F7C4DC"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2947FBB9"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990ACD7" w14:textId="77777777" w:rsidR="00AE5F76" w:rsidRDefault="00AE5F76">
            <w:pPr>
              <w:rPr>
                <w:rFonts w:ascii="Calibri" w:hAnsi="Calibri"/>
                <w:color w:val="000000"/>
                <w:sz w:val="20"/>
                <w:szCs w:val="20"/>
              </w:rPr>
            </w:pPr>
            <w:r>
              <w:rPr>
                <w:rFonts w:ascii="Calibri" w:hAnsi="Calibri"/>
                <w:color w:val="000000"/>
                <w:sz w:val="20"/>
                <w:szCs w:val="20"/>
              </w:rPr>
              <w:t xml:space="preserve">                   534.00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E439CA1" w14:textId="77777777" w:rsidR="00AE5F76" w:rsidRDefault="00AE5F76">
            <w:pPr>
              <w:rPr>
                <w:rFonts w:ascii="Calibri" w:hAnsi="Calibri"/>
                <w:color w:val="000000"/>
                <w:sz w:val="20"/>
                <w:szCs w:val="20"/>
              </w:rPr>
            </w:pPr>
            <w:r>
              <w:rPr>
                <w:rFonts w:ascii="Calibri" w:hAnsi="Calibri"/>
                <w:color w:val="000000"/>
                <w:sz w:val="20"/>
                <w:szCs w:val="20"/>
              </w:rPr>
              <w:t xml:space="preserve">           534.00 </w:t>
            </w:r>
          </w:p>
        </w:tc>
      </w:tr>
      <w:tr w:rsidR="00AE5F76" w14:paraId="64EF15EB"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3821BC74" w14:textId="77777777" w:rsidR="00AE5F76" w:rsidRDefault="00AE5F76">
            <w:pPr>
              <w:jc w:val="center"/>
              <w:rPr>
                <w:rFonts w:ascii="Calibri" w:hAnsi="Calibri"/>
                <w:b/>
                <w:bCs/>
                <w:sz w:val="20"/>
                <w:szCs w:val="20"/>
              </w:rPr>
            </w:pPr>
            <w:r>
              <w:rPr>
                <w:rFonts w:ascii="Calibri" w:hAnsi="Calibri"/>
                <w:b/>
                <w:bCs/>
                <w:sz w:val="20"/>
                <w:szCs w:val="2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477913" w14:textId="77777777" w:rsidR="00AE5F76" w:rsidRDefault="00AE5F76">
            <w:pPr>
              <w:rPr>
                <w:rFonts w:ascii="Calibri" w:hAnsi="Calibri"/>
                <w:color w:val="000000"/>
                <w:sz w:val="20"/>
                <w:szCs w:val="20"/>
              </w:rPr>
            </w:pPr>
            <w:r>
              <w:rPr>
                <w:rFonts w:ascii="Calibri" w:hAnsi="Calibri"/>
                <w:color w:val="000000"/>
                <w:sz w:val="20"/>
                <w:szCs w:val="20"/>
              </w:rPr>
              <w:t xml:space="preserve">                      41.00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DFC7398" w14:textId="77777777" w:rsidR="00AE5F76" w:rsidRDefault="00AE5F76">
            <w:pPr>
              <w:rPr>
                <w:rFonts w:ascii="Calibri" w:hAnsi="Calibri"/>
                <w:color w:val="000000"/>
                <w:sz w:val="20"/>
                <w:szCs w:val="20"/>
              </w:rPr>
            </w:pPr>
            <w:r>
              <w:rPr>
                <w:rFonts w:ascii="Calibri" w:hAnsi="Calibri"/>
                <w:color w:val="000000"/>
                <w:sz w:val="20"/>
                <w:szCs w:val="20"/>
              </w:rPr>
              <w:t xml:space="preserve">             41.00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48EB4FB5"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65DAEA8"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302215F"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13C71826"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7F62D17"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A2CA98B"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3E70F956"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F1A28CB" w14:textId="77777777" w:rsidR="00AE5F76" w:rsidRDefault="00AE5F76">
            <w:pPr>
              <w:rPr>
                <w:rFonts w:ascii="Calibri" w:hAnsi="Calibri"/>
                <w:color w:val="000000"/>
                <w:sz w:val="20"/>
                <w:szCs w:val="20"/>
              </w:rPr>
            </w:pPr>
            <w:r>
              <w:rPr>
                <w:rFonts w:ascii="Calibri" w:hAnsi="Calibri"/>
                <w:color w:val="000000"/>
                <w:sz w:val="20"/>
                <w:szCs w:val="20"/>
              </w:rPr>
              <w:t xml:space="preserve">                   536.00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99BB155" w14:textId="77777777" w:rsidR="00AE5F76" w:rsidRDefault="00AE5F76">
            <w:pPr>
              <w:rPr>
                <w:rFonts w:ascii="Calibri" w:hAnsi="Calibri"/>
                <w:color w:val="000000"/>
                <w:sz w:val="20"/>
                <w:szCs w:val="20"/>
              </w:rPr>
            </w:pPr>
            <w:r>
              <w:rPr>
                <w:rFonts w:ascii="Calibri" w:hAnsi="Calibri"/>
                <w:color w:val="000000"/>
                <w:sz w:val="20"/>
                <w:szCs w:val="20"/>
              </w:rPr>
              <w:t xml:space="preserve">           536.00 </w:t>
            </w:r>
          </w:p>
        </w:tc>
      </w:tr>
      <w:tr w:rsidR="00AE5F76" w14:paraId="47723CE7"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4328C4F1" w14:textId="77777777" w:rsidR="00AE5F76" w:rsidRDefault="00AE5F76">
            <w:pPr>
              <w:jc w:val="center"/>
              <w:rPr>
                <w:rFonts w:ascii="Calibri" w:hAnsi="Calibri"/>
                <w:b/>
                <w:bCs/>
                <w:sz w:val="20"/>
                <w:szCs w:val="20"/>
              </w:rPr>
            </w:pPr>
            <w:r>
              <w:rPr>
                <w:rFonts w:ascii="Calibri" w:hAnsi="Calibri"/>
                <w:b/>
                <w:bCs/>
                <w:sz w:val="20"/>
                <w:szCs w:val="2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1832F6" w14:textId="77777777" w:rsidR="00AE5F76" w:rsidRDefault="00AE5F76">
            <w:pPr>
              <w:rPr>
                <w:rFonts w:ascii="Calibri" w:hAnsi="Calibri"/>
                <w:color w:val="000000"/>
                <w:sz w:val="20"/>
                <w:szCs w:val="20"/>
              </w:rPr>
            </w:pPr>
            <w:r>
              <w:rPr>
                <w:rFonts w:ascii="Calibri" w:hAnsi="Calibri"/>
                <w:color w:val="000000"/>
                <w:sz w:val="20"/>
                <w:szCs w:val="20"/>
              </w:rPr>
              <w:t xml:space="preserve">                      43.00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167BFF0" w14:textId="77777777" w:rsidR="00AE5F76" w:rsidRDefault="00AE5F76">
            <w:pPr>
              <w:rPr>
                <w:rFonts w:ascii="Calibri" w:hAnsi="Calibri"/>
                <w:color w:val="000000"/>
                <w:sz w:val="20"/>
                <w:szCs w:val="20"/>
              </w:rPr>
            </w:pPr>
            <w:r>
              <w:rPr>
                <w:rFonts w:ascii="Calibri" w:hAnsi="Calibri"/>
                <w:color w:val="000000"/>
                <w:sz w:val="20"/>
                <w:szCs w:val="20"/>
              </w:rPr>
              <w:t xml:space="preserve">             43.00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143B3959"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F13D908"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779EF9B"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1BE9F623"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99454AF"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A81B1B6"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6C8B81EF"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F04A077" w14:textId="77777777" w:rsidR="00AE5F76" w:rsidRDefault="00AE5F76">
            <w:pPr>
              <w:rPr>
                <w:rFonts w:ascii="Calibri" w:hAnsi="Calibri"/>
                <w:color w:val="000000"/>
                <w:sz w:val="20"/>
                <w:szCs w:val="20"/>
              </w:rPr>
            </w:pPr>
            <w:r>
              <w:rPr>
                <w:rFonts w:ascii="Calibri" w:hAnsi="Calibri"/>
                <w:color w:val="000000"/>
                <w:sz w:val="20"/>
                <w:szCs w:val="20"/>
              </w:rPr>
              <w:t xml:space="preserve">                   538.00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F8CCBC6" w14:textId="77777777" w:rsidR="00AE5F76" w:rsidRDefault="00AE5F76">
            <w:pPr>
              <w:rPr>
                <w:rFonts w:ascii="Calibri" w:hAnsi="Calibri"/>
                <w:color w:val="000000"/>
                <w:sz w:val="20"/>
                <w:szCs w:val="20"/>
              </w:rPr>
            </w:pPr>
            <w:r>
              <w:rPr>
                <w:rFonts w:ascii="Calibri" w:hAnsi="Calibri"/>
                <w:color w:val="000000"/>
                <w:sz w:val="20"/>
                <w:szCs w:val="20"/>
              </w:rPr>
              <w:t xml:space="preserve">           538.00 </w:t>
            </w:r>
          </w:p>
        </w:tc>
      </w:tr>
      <w:tr w:rsidR="00AE5F76" w14:paraId="526AEF25" w14:textId="77777777" w:rsidTr="00AE5F76">
        <w:trPr>
          <w:trHeight w:val="315"/>
          <w:jc w:val="center"/>
        </w:trPr>
        <w:tc>
          <w:tcPr>
            <w:tcW w:w="0" w:type="auto"/>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bottom"/>
            <w:hideMark/>
          </w:tcPr>
          <w:p w14:paraId="049738D2" w14:textId="77777777" w:rsidR="00AE5F76" w:rsidRDefault="00AE5F76">
            <w:pPr>
              <w:jc w:val="center"/>
              <w:rPr>
                <w:rFonts w:ascii="Calibri" w:hAnsi="Calibri"/>
                <w:b/>
                <w:bCs/>
                <w:sz w:val="20"/>
                <w:szCs w:val="20"/>
              </w:rPr>
            </w:pPr>
            <w:r>
              <w:rPr>
                <w:rFonts w:ascii="Calibri" w:hAnsi="Calibri"/>
                <w:b/>
                <w:bCs/>
                <w:sz w:val="20"/>
                <w:szCs w:val="20"/>
              </w:rPr>
              <w:t>12 or more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6B8E08" w14:textId="77777777" w:rsidR="00AE5F76" w:rsidRDefault="00AE5F76">
            <w:pPr>
              <w:rPr>
                <w:rFonts w:ascii="Calibri" w:hAnsi="Calibri"/>
                <w:color w:val="000000"/>
                <w:sz w:val="20"/>
                <w:szCs w:val="20"/>
              </w:rPr>
            </w:pPr>
            <w:r>
              <w:rPr>
                <w:rFonts w:ascii="Calibri" w:hAnsi="Calibri"/>
                <w:color w:val="000000"/>
                <w:sz w:val="20"/>
                <w:szCs w:val="20"/>
              </w:rPr>
              <w:t xml:space="preserve">                      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1349629" w14:textId="77777777" w:rsidR="00AE5F76" w:rsidRDefault="00AE5F76">
            <w:pPr>
              <w:rPr>
                <w:rFonts w:ascii="Calibri" w:hAnsi="Calibri"/>
                <w:color w:val="000000"/>
                <w:sz w:val="20"/>
                <w:szCs w:val="20"/>
              </w:rPr>
            </w:pPr>
            <w:r>
              <w:rPr>
                <w:rFonts w:ascii="Calibri" w:hAnsi="Calibri"/>
                <w:color w:val="000000"/>
                <w:sz w:val="20"/>
                <w:szCs w:val="20"/>
              </w:rPr>
              <w:t xml:space="preserve">             45.00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297160C9"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D9ADA34"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8B1FF44" w14:textId="77777777" w:rsidR="00AE5F76" w:rsidRDefault="00AE5F76">
            <w:pPr>
              <w:rPr>
                <w:rFonts w:ascii="Calibri" w:hAnsi="Calibri"/>
                <w:color w:val="000000"/>
                <w:sz w:val="20"/>
                <w:szCs w:val="20"/>
              </w:rPr>
            </w:pPr>
            <w:r>
              <w:rPr>
                <w:rFonts w:ascii="Calibri" w:hAnsi="Calibri"/>
                <w:color w:val="000000"/>
                <w:sz w:val="20"/>
                <w:szCs w:val="20"/>
              </w:rPr>
              <w:t xml:space="preserve">             345.00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1F9AAFA4"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C50FB8D"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9CF02F4" w14:textId="77777777" w:rsidR="00AE5F76" w:rsidRDefault="00AE5F76">
            <w:pPr>
              <w:rPr>
                <w:rFonts w:ascii="Calibri" w:hAnsi="Calibri"/>
                <w:color w:val="000000"/>
                <w:sz w:val="20"/>
                <w:szCs w:val="20"/>
              </w:rPr>
            </w:pPr>
            <w:r>
              <w:rPr>
                <w:rFonts w:ascii="Calibri" w:hAnsi="Calibri"/>
                <w:color w:val="000000"/>
                <w:sz w:val="20"/>
                <w:szCs w:val="20"/>
              </w:rPr>
              <w:t xml:space="preserve">           150.00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35B0FCFE"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1E67882" w14:textId="77777777" w:rsidR="00AE5F76" w:rsidRDefault="00AE5F76">
            <w:pPr>
              <w:rPr>
                <w:rFonts w:ascii="Calibri" w:hAnsi="Calibri"/>
                <w:color w:val="000000"/>
                <w:sz w:val="20"/>
                <w:szCs w:val="20"/>
              </w:rPr>
            </w:pPr>
            <w:r>
              <w:rPr>
                <w:rFonts w:ascii="Calibri" w:hAnsi="Calibri"/>
                <w:color w:val="000000"/>
                <w:sz w:val="20"/>
                <w:szCs w:val="20"/>
              </w:rPr>
              <w:t xml:space="preserve">                   540.00 </w:t>
            </w:r>
          </w:p>
        </w:tc>
        <w:tc>
          <w:tcPr>
            <w:tcW w:w="1209"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1AA0411" w14:textId="77777777" w:rsidR="00AE5F76" w:rsidRDefault="00AE5F76">
            <w:pPr>
              <w:rPr>
                <w:rFonts w:ascii="Calibri" w:hAnsi="Calibri"/>
                <w:color w:val="000000"/>
                <w:sz w:val="20"/>
                <w:szCs w:val="20"/>
              </w:rPr>
            </w:pPr>
            <w:r>
              <w:rPr>
                <w:rFonts w:ascii="Calibri" w:hAnsi="Calibri"/>
                <w:color w:val="000000"/>
                <w:sz w:val="20"/>
                <w:szCs w:val="20"/>
              </w:rPr>
              <w:t xml:space="preserve">           540.00 </w:t>
            </w:r>
          </w:p>
        </w:tc>
      </w:tr>
      <w:tr w:rsidR="00AE5F76" w14:paraId="25259D90" w14:textId="77777777" w:rsidTr="00AE5F76">
        <w:trPr>
          <w:trHeight w:val="315"/>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6538A7" w14:textId="77777777" w:rsidR="00AE5F76" w:rsidRDefault="00AE5F76">
            <w:pPr>
              <w:jc w:val="center"/>
              <w:rPr>
                <w:rFonts w:ascii="Calibri" w:hAnsi="Calibri"/>
                <w:b/>
                <w:bCs/>
                <w:sz w:val="20"/>
                <w:szCs w:val="20"/>
              </w:rPr>
            </w:pPr>
            <w:r>
              <w:rPr>
                <w:rFonts w:ascii="Calibri" w:hAnsi="Calibri"/>
                <w:b/>
                <w:bCs/>
                <w:sz w:val="20"/>
                <w:szCs w:val="20"/>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53B532F"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2F6EE"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56F805E4"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406D85E"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74E24"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4E6D7333"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7E9473D"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ED597"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nil"/>
              <w:bottom w:val="nil"/>
              <w:right w:val="nil"/>
            </w:tcBorders>
            <w:shd w:val="clear" w:color="000000" w:fill="DDD9C4"/>
            <w:noWrap/>
            <w:tcMar>
              <w:top w:w="15" w:type="dxa"/>
              <w:left w:w="15" w:type="dxa"/>
              <w:bottom w:w="0" w:type="dxa"/>
              <w:right w:w="15" w:type="dxa"/>
            </w:tcMar>
            <w:vAlign w:val="bottom"/>
            <w:hideMark/>
          </w:tcPr>
          <w:p w14:paraId="7034C0F1" w14:textId="77777777" w:rsidR="00AE5F76" w:rsidRDefault="00AE5F76">
            <w:pPr>
              <w:rPr>
                <w:rFonts w:ascii="Calibri" w:hAnsi="Calibri"/>
                <w:color w:val="000000"/>
                <w:sz w:val="20"/>
                <w:szCs w:val="20"/>
              </w:rPr>
            </w:pPr>
            <w:r>
              <w:rPr>
                <w:rFonts w:ascii="Calibri" w:hAnsi="Calibri"/>
                <w:color w:val="000000"/>
                <w:sz w:val="20"/>
                <w:szCs w:val="20"/>
              </w:rPr>
              <w:t>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2DADB82" w14:textId="77777777" w:rsidR="00AE5F76" w:rsidRDefault="00AE5F76">
            <w:pPr>
              <w:rPr>
                <w:rFonts w:ascii="Calibri" w:hAnsi="Calibri"/>
                <w:color w:val="000000"/>
                <w:sz w:val="20"/>
                <w:szCs w:val="20"/>
              </w:rPr>
            </w:pPr>
            <w:r>
              <w:rPr>
                <w:rFonts w:ascii="Calibri" w:hAnsi="Calibri"/>
                <w:color w:val="000000"/>
                <w:sz w:val="20"/>
                <w:szCs w:val="20"/>
              </w:rPr>
              <w:t> </w:t>
            </w:r>
          </w:p>
        </w:tc>
        <w:tc>
          <w:tcPr>
            <w:tcW w:w="12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3CABE" w14:textId="77777777" w:rsidR="00AE5F76" w:rsidRDefault="00AE5F76">
            <w:pPr>
              <w:rPr>
                <w:rFonts w:ascii="Calibri" w:hAnsi="Calibri"/>
                <w:color w:val="000000"/>
                <w:sz w:val="20"/>
                <w:szCs w:val="20"/>
              </w:rPr>
            </w:pPr>
            <w:r>
              <w:rPr>
                <w:rFonts w:ascii="Calibri" w:hAnsi="Calibri"/>
                <w:color w:val="000000"/>
                <w:sz w:val="20"/>
                <w:szCs w:val="20"/>
              </w:rPr>
              <w:t> </w:t>
            </w:r>
          </w:p>
        </w:tc>
      </w:tr>
      <w:tr w:rsidR="00AE5F76" w14:paraId="214F1366" w14:textId="77777777" w:rsidTr="00AE5F76">
        <w:trPr>
          <w:trHeight w:val="315"/>
          <w:jc w:val="center"/>
        </w:trPr>
        <w:tc>
          <w:tcPr>
            <w:tcW w:w="10975" w:type="dxa"/>
            <w:gridSpan w:val="1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hideMark/>
          </w:tcPr>
          <w:p w14:paraId="2F1A5C2E" w14:textId="77777777" w:rsidR="00AE5F76" w:rsidRDefault="00AE5F76">
            <w:pPr>
              <w:rPr>
                <w:rFonts w:ascii="Calibri" w:hAnsi="Calibri"/>
                <w:b/>
                <w:bCs/>
                <w:color w:val="000000"/>
                <w:sz w:val="18"/>
                <w:szCs w:val="18"/>
              </w:rPr>
            </w:pPr>
            <w:r>
              <w:rPr>
                <w:rFonts w:ascii="Calibri" w:hAnsi="Calibri"/>
                <w:b/>
                <w:bCs/>
                <w:color w:val="000000"/>
                <w:sz w:val="18"/>
                <w:szCs w:val="18"/>
              </w:rPr>
              <w:t xml:space="preserve"> Endnotes: </w:t>
            </w:r>
          </w:p>
        </w:tc>
      </w:tr>
      <w:tr w:rsidR="00AE5F76" w14:paraId="549C3E5D" w14:textId="77777777" w:rsidTr="00AE5F76">
        <w:trPr>
          <w:trHeight w:val="315"/>
          <w:jc w:val="center"/>
        </w:trPr>
        <w:tc>
          <w:tcPr>
            <w:tcW w:w="10975" w:type="dxa"/>
            <w:gridSpan w:val="12"/>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14:paraId="71A7FCDA" w14:textId="77777777" w:rsidR="00AE5F76" w:rsidRDefault="00AE5F76">
            <w:pPr>
              <w:rPr>
                <w:rFonts w:ascii="Calibri" w:hAnsi="Calibri"/>
                <w:i/>
                <w:iCs/>
                <w:color w:val="000000"/>
                <w:sz w:val="18"/>
                <w:szCs w:val="18"/>
              </w:rPr>
            </w:pPr>
            <w:r>
              <w:rPr>
                <w:rFonts w:ascii="Calibri" w:hAnsi="Calibri"/>
                <w:i/>
                <w:iCs/>
                <w:color w:val="000000"/>
                <w:sz w:val="18"/>
                <w:szCs w:val="18"/>
              </w:rPr>
              <w:t>(1) Klamath Falls campus Health Service Fee is optional for 1-5 credits, if option is exercised the fee is $150 per term.</w:t>
            </w:r>
          </w:p>
        </w:tc>
      </w:tr>
      <w:tr w:rsidR="00AE5F76" w14:paraId="7C10D1CA" w14:textId="77777777" w:rsidTr="00AE5F76">
        <w:trPr>
          <w:trHeight w:val="315"/>
          <w:jc w:val="center"/>
        </w:trPr>
        <w:tc>
          <w:tcPr>
            <w:tcW w:w="10975" w:type="dxa"/>
            <w:gridSpan w:val="12"/>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14:paraId="091169B4" w14:textId="77777777" w:rsidR="00AE5F76" w:rsidRDefault="00AE5F76">
            <w:pPr>
              <w:rPr>
                <w:rFonts w:ascii="Calibri" w:hAnsi="Calibri"/>
                <w:i/>
                <w:iCs/>
                <w:color w:val="000000"/>
                <w:sz w:val="18"/>
                <w:szCs w:val="18"/>
              </w:rPr>
            </w:pPr>
            <w:r>
              <w:rPr>
                <w:rFonts w:ascii="Calibri" w:hAnsi="Calibri"/>
                <w:i/>
                <w:iCs/>
                <w:color w:val="000000"/>
                <w:sz w:val="18"/>
                <w:szCs w:val="18"/>
              </w:rPr>
              <w:t>(2) In lieu of Oregon Tech enrollment fees students enrolled in the Chemeketa Dental Hygiene program will be assessed at Chemeketa Community College rates.</w:t>
            </w:r>
          </w:p>
        </w:tc>
      </w:tr>
      <w:tr w:rsidR="00AE5F76" w14:paraId="2655D05D" w14:textId="77777777" w:rsidTr="00AE5F76">
        <w:trPr>
          <w:trHeight w:val="315"/>
          <w:jc w:val="center"/>
        </w:trPr>
        <w:tc>
          <w:tcPr>
            <w:tcW w:w="10975" w:type="dxa"/>
            <w:gridSpan w:val="12"/>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14:paraId="2C4D2373" w14:textId="77777777" w:rsidR="00AE5F76" w:rsidRDefault="00AE5F76">
            <w:pPr>
              <w:rPr>
                <w:rFonts w:ascii="Calibri" w:hAnsi="Calibri"/>
                <w:i/>
                <w:iCs/>
                <w:color w:val="000000"/>
                <w:sz w:val="18"/>
                <w:szCs w:val="18"/>
              </w:rPr>
            </w:pPr>
            <w:r>
              <w:rPr>
                <w:rFonts w:ascii="Calibri" w:hAnsi="Calibri"/>
                <w:i/>
                <w:iCs/>
                <w:color w:val="000000"/>
                <w:sz w:val="18"/>
                <w:szCs w:val="18"/>
              </w:rPr>
              <w:t>(3) Students in upper division health service curriculums and international students are required to carry major medical insurance.</w:t>
            </w:r>
          </w:p>
        </w:tc>
      </w:tr>
      <w:tr w:rsidR="00AE5F76" w14:paraId="10E58977" w14:textId="77777777" w:rsidTr="00AE5F76">
        <w:trPr>
          <w:trHeight w:val="555"/>
          <w:jc w:val="center"/>
        </w:trPr>
        <w:tc>
          <w:tcPr>
            <w:tcW w:w="10975" w:type="dxa"/>
            <w:gridSpan w:val="12"/>
            <w:tcBorders>
              <w:top w:val="nil"/>
              <w:left w:val="single" w:sz="4" w:space="0" w:color="auto"/>
              <w:bottom w:val="nil"/>
              <w:right w:val="single" w:sz="4" w:space="0" w:color="000000"/>
            </w:tcBorders>
            <w:shd w:val="clear" w:color="auto" w:fill="auto"/>
            <w:tcMar>
              <w:top w:w="15" w:type="dxa"/>
              <w:left w:w="15" w:type="dxa"/>
              <w:bottom w:w="0" w:type="dxa"/>
              <w:right w:w="15" w:type="dxa"/>
            </w:tcMar>
            <w:hideMark/>
          </w:tcPr>
          <w:p w14:paraId="4527549B" w14:textId="77777777" w:rsidR="00AE5F76" w:rsidRDefault="00AE5F76">
            <w:pPr>
              <w:rPr>
                <w:rFonts w:ascii="Calibri" w:hAnsi="Calibri"/>
                <w:i/>
                <w:iCs/>
                <w:color w:val="000000"/>
                <w:sz w:val="18"/>
                <w:szCs w:val="18"/>
              </w:rPr>
            </w:pPr>
            <w:r>
              <w:rPr>
                <w:rFonts w:ascii="Calibri" w:hAnsi="Calibri"/>
                <w:i/>
                <w:iCs/>
                <w:color w:val="000000"/>
                <w:sz w:val="18"/>
                <w:szCs w:val="18"/>
              </w:rPr>
              <w:t>(4) A one-time non-refundable a $40 Transcript for Life Fee is assessed on all new and transfer students.A one-time non-refundable Matriculation Fee of $300 for undergraduate and $150.00 for graduate students is assessed on allnew and transfer students.</w:t>
            </w:r>
          </w:p>
        </w:tc>
      </w:tr>
      <w:tr w:rsidR="00AE5F76" w14:paraId="6FDDFE23" w14:textId="77777777" w:rsidTr="00AE5F76">
        <w:trPr>
          <w:trHeight w:val="315"/>
          <w:jc w:val="center"/>
        </w:trPr>
        <w:tc>
          <w:tcPr>
            <w:tcW w:w="10975" w:type="dxa"/>
            <w:gridSpan w:val="12"/>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50D754D3" w14:textId="77777777" w:rsidR="00AE5F76" w:rsidRDefault="00AE5F76">
            <w:pPr>
              <w:rPr>
                <w:rFonts w:ascii="Calibri" w:hAnsi="Calibri"/>
                <w:i/>
                <w:iCs/>
                <w:color w:val="000000"/>
                <w:sz w:val="18"/>
                <w:szCs w:val="18"/>
              </w:rPr>
            </w:pPr>
            <w:r>
              <w:rPr>
                <w:rFonts w:ascii="Calibri" w:hAnsi="Calibri"/>
                <w:i/>
                <w:iCs/>
                <w:color w:val="000000"/>
                <w:sz w:val="18"/>
                <w:szCs w:val="18"/>
              </w:rPr>
              <w:t>(5) Qualified tuition and fees do not include student health related fees or student insurance for Tax Relief Act reporting.</w:t>
            </w:r>
          </w:p>
        </w:tc>
      </w:tr>
    </w:tbl>
    <w:p w14:paraId="207BCD43" w14:textId="77777777" w:rsidR="002F06D5" w:rsidRDefault="009D6E84" w:rsidP="002F06D5">
      <w:pPr>
        <w:ind w:right="12"/>
        <w:jc w:val="center"/>
        <w:rPr>
          <w:rFonts w:asciiTheme="minorHAnsi" w:hAnsiTheme="minorHAnsi"/>
          <w:sz w:val="24"/>
        </w:rPr>
      </w:pPr>
      <w:r w:rsidRPr="00282BFE">
        <w:rPr>
          <w:rFonts w:asciiTheme="minorHAnsi" w:hAnsiTheme="minorHAnsi"/>
          <w:sz w:val="24"/>
        </w:rPr>
        <w:br w:type="page"/>
      </w:r>
    </w:p>
    <w:p w14:paraId="487E51DD" w14:textId="3888D948" w:rsidR="00846B0D" w:rsidRPr="002A0AD3" w:rsidRDefault="00846B0D" w:rsidP="00846B0D">
      <w:pPr>
        <w:shd w:val="clear" w:color="auto" w:fill="DBE5F1" w:themeFill="accent1" w:themeFillTint="33"/>
        <w:ind w:right="12"/>
        <w:jc w:val="center"/>
        <w:rPr>
          <w:rFonts w:asciiTheme="minorHAnsi" w:hAnsiTheme="minorHAnsi"/>
          <w:sz w:val="28"/>
        </w:rPr>
      </w:pPr>
      <w:r w:rsidRPr="002A0AD3">
        <w:rPr>
          <w:rFonts w:asciiTheme="minorHAnsi" w:hAnsiTheme="minorHAnsi"/>
          <w:b/>
          <w:sz w:val="28"/>
        </w:rPr>
        <w:lastRenderedPageBreak/>
        <w:t>Oregon Tech–Klamath Falls</w:t>
      </w:r>
      <w:r>
        <w:rPr>
          <w:rFonts w:asciiTheme="minorHAnsi" w:hAnsiTheme="minorHAnsi"/>
          <w:b/>
          <w:sz w:val="28"/>
        </w:rPr>
        <w:t xml:space="preserve"> – 201</w:t>
      </w:r>
      <w:r w:rsidR="00CA2AB6">
        <w:rPr>
          <w:rFonts w:asciiTheme="minorHAnsi" w:hAnsiTheme="minorHAnsi"/>
          <w:b/>
          <w:sz w:val="28"/>
        </w:rPr>
        <w:t>7</w:t>
      </w:r>
      <w:r>
        <w:rPr>
          <w:rFonts w:asciiTheme="minorHAnsi" w:hAnsiTheme="minorHAnsi"/>
          <w:b/>
          <w:sz w:val="28"/>
        </w:rPr>
        <w:t>-1</w:t>
      </w:r>
      <w:r w:rsidR="00CA2AB6">
        <w:rPr>
          <w:rFonts w:asciiTheme="minorHAnsi" w:hAnsiTheme="minorHAnsi"/>
          <w:b/>
          <w:sz w:val="28"/>
        </w:rPr>
        <w:t>8</w:t>
      </w:r>
      <w:r>
        <w:rPr>
          <w:rFonts w:asciiTheme="minorHAnsi" w:hAnsiTheme="minorHAnsi"/>
          <w:b/>
          <w:sz w:val="28"/>
        </w:rPr>
        <w:t xml:space="preserve"> Academic Year</w:t>
      </w:r>
    </w:p>
    <w:p w14:paraId="311772EA" w14:textId="77777777" w:rsidR="00846B0D" w:rsidRPr="00AB21B1" w:rsidRDefault="00846B0D" w:rsidP="00846B0D">
      <w:pPr>
        <w:pStyle w:val="Heading3"/>
      </w:pPr>
      <w:r w:rsidRPr="00AB21B1">
        <w:t>Differential Programs</w:t>
      </w:r>
      <w:r>
        <w:t>—</w:t>
      </w:r>
      <w:r w:rsidRPr="00AB21B1">
        <w:t>Undergraduate</w:t>
      </w:r>
    </w:p>
    <w:p w14:paraId="6BA03680" w14:textId="77777777" w:rsidR="00846B0D" w:rsidRPr="00282BFE" w:rsidRDefault="00846B0D" w:rsidP="00846B0D">
      <w:pPr>
        <w:ind w:right="12"/>
        <w:jc w:val="center"/>
        <w:rPr>
          <w:rFonts w:asciiTheme="minorHAnsi" w:hAnsiTheme="minorHAnsi"/>
          <w:b/>
          <w:sz w:val="24"/>
        </w:rPr>
      </w:pPr>
      <w:r w:rsidRPr="00282BFE">
        <w:rPr>
          <w:rFonts w:asciiTheme="minorHAnsi" w:hAnsiTheme="minorHAnsi"/>
          <w:b/>
          <w:sz w:val="24"/>
        </w:rPr>
        <w:t>Per Term</w:t>
      </w:r>
    </w:p>
    <w:p w14:paraId="7C57AEE1" w14:textId="77777777" w:rsidR="00846B0D" w:rsidRPr="00282BFE" w:rsidRDefault="00846B0D" w:rsidP="00846B0D">
      <w:pPr>
        <w:ind w:right="12"/>
        <w:jc w:val="center"/>
        <w:rPr>
          <w:rFonts w:asciiTheme="minorHAnsi" w:hAnsiTheme="minorHAnsi"/>
          <w:b/>
          <w:color w:val="FF0000"/>
          <w:sz w:val="24"/>
        </w:rPr>
      </w:pPr>
    </w:p>
    <w:p w14:paraId="4ADCDA9C" w14:textId="77777777" w:rsidR="00846B0D" w:rsidRDefault="00846B0D" w:rsidP="00846B0D">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15BB69AB" w14:textId="77777777" w:rsidR="00846B0D" w:rsidRPr="00282BFE" w:rsidRDefault="00846B0D" w:rsidP="00846B0D">
      <w:pPr>
        <w:ind w:right="12"/>
        <w:jc w:val="both"/>
        <w:rPr>
          <w:rFonts w:asciiTheme="minorHAnsi" w:hAnsiTheme="minorHAnsi"/>
          <w:i/>
          <w:sz w:val="24"/>
        </w:rPr>
      </w:pPr>
    </w:p>
    <w:p w14:paraId="51D1742D" w14:textId="77777777" w:rsidR="00846B0D" w:rsidRDefault="00846B0D" w:rsidP="00846B0D">
      <w:pPr>
        <w:rPr>
          <w:rFonts w:asciiTheme="minorHAnsi" w:hAnsiTheme="minorHAnsi"/>
          <w:b/>
          <w:i/>
          <w:sz w:val="24"/>
        </w:rPr>
      </w:pPr>
      <w:r>
        <w:rPr>
          <w:rFonts w:asciiTheme="minorHAnsi" w:hAnsiTheme="minorHAnsi"/>
          <w:b/>
          <w:i/>
          <w:sz w:val="24"/>
        </w:rPr>
        <w:t>Allied Health</w:t>
      </w:r>
    </w:p>
    <w:p w14:paraId="6B62BEE2" w14:textId="77777777" w:rsidR="00846B0D" w:rsidRPr="001242C7" w:rsidRDefault="00846B0D" w:rsidP="00846B0D">
      <w:pPr>
        <w:rPr>
          <w:rFonts w:asciiTheme="minorHAnsi" w:hAnsiTheme="minorHAnsi"/>
          <w:b/>
          <w:i/>
          <w:sz w:val="24"/>
        </w:rPr>
      </w:pPr>
    </w:p>
    <w:p w14:paraId="4641CA74" w14:textId="1A3BBDDA" w:rsidR="00846B0D" w:rsidRDefault="00846B0D" w:rsidP="00846B0D">
      <w:pPr>
        <w:jc w:val="center"/>
        <w:rPr>
          <w:rFonts w:asciiTheme="minorHAnsi" w:hAnsiTheme="minorHAnsi"/>
          <w:b/>
          <w:sz w:val="24"/>
        </w:rPr>
      </w:pPr>
    </w:p>
    <w:p w14:paraId="6500A2C6" w14:textId="55885B32" w:rsidR="00846B0D" w:rsidRDefault="0049113B" w:rsidP="00794A70">
      <w:pPr>
        <w:jc w:val="center"/>
        <w:rPr>
          <w:rFonts w:asciiTheme="minorHAnsi" w:hAnsiTheme="minorHAnsi"/>
          <w:b/>
          <w:sz w:val="24"/>
        </w:rPr>
      </w:pPr>
      <w:r>
        <w:rPr>
          <w:rFonts w:asciiTheme="minorHAnsi" w:hAnsiTheme="minorHAnsi"/>
          <w:b/>
          <w:noProof/>
          <w:sz w:val="24"/>
        </w:rPr>
        <w:drawing>
          <wp:inline distT="0" distB="0" distL="0" distR="0" wp14:anchorId="6B1F7EFA" wp14:editId="574B86D2">
            <wp:extent cx="2647950" cy="592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ied Health.JPG"/>
                    <pic:cNvPicPr/>
                  </pic:nvPicPr>
                  <pic:blipFill>
                    <a:blip r:embed="rId13">
                      <a:extLst>
                        <a:ext uri="{28A0092B-C50C-407E-A947-70E740481C1C}">
                          <a14:useLocalDpi xmlns:a14="http://schemas.microsoft.com/office/drawing/2010/main" val="0"/>
                        </a:ext>
                      </a:extLst>
                    </a:blip>
                    <a:stretch>
                      <a:fillRect/>
                    </a:stretch>
                  </pic:blipFill>
                  <pic:spPr>
                    <a:xfrm>
                      <a:off x="0" y="0"/>
                      <a:ext cx="2647950" cy="5924550"/>
                    </a:xfrm>
                    <a:prstGeom prst="rect">
                      <a:avLst/>
                    </a:prstGeom>
                  </pic:spPr>
                </pic:pic>
              </a:graphicData>
            </a:graphic>
          </wp:inline>
        </w:drawing>
      </w:r>
    </w:p>
    <w:p w14:paraId="64716F94" w14:textId="77777777" w:rsidR="00846B0D" w:rsidRDefault="00846B0D" w:rsidP="00846B0D">
      <w:pPr>
        <w:jc w:val="center"/>
        <w:rPr>
          <w:rFonts w:asciiTheme="minorHAnsi" w:hAnsiTheme="minorHAnsi"/>
          <w:b/>
          <w:sz w:val="24"/>
        </w:rPr>
      </w:pPr>
    </w:p>
    <w:p w14:paraId="6ED25EF3" w14:textId="77777777" w:rsidR="00846B0D" w:rsidRDefault="00846B0D" w:rsidP="00846B0D">
      <w:pPr>
        <w:jc w:val="center"/>
        <w:rPr>
          <w:rFonts w:asciiTheme="minorHAnsi" w:hAnsiTheme="minorHAnsi"/>
          <w:b/>
          <w:sz w:val="24"/>
        </w:rPr>
      </w:pPr>
    </w:p>
    <w:p w14:paraId="1791767B" w14:textId="77777777" w:rsidR="00846B0D" w:rsidRDefault="00846B0D" w:rsidP="00846B0D">
      <w:pPr>
        <w:jc w:val="center"/>
        <w:rPr>
          <w:rFonts w:asciiTheme="minorHAnsi" w:hAnsiTheme="minorHAnsi"/>
          <w:b/>
          <w:sz w:val="24"/>
        </w:rPr>
      </w:pPr>
    </w:p>
    <w:p w14:paraId="081D4464" w14:textId="24B387D5" w:rsidR="00846B0D" w:rsidRPr="002A0AD3" w:rsidRDefault="00846B0D" w:rsidP="00EF213F">
      <w:pPr>
        <w:rPr>
          <w:rFonts w:asciiTheme="minorHAnsi" w:hAnsiTheme="minorHAnsi"/>
          <w:sz w:val="28"/>
        </w:rPr>
      </w:pPr>
      <w:r>
        <w:rPr>
          <w:rFonts w:asciiTheme="minorHAnsi" w:hAnsiTheme="minorHAnsi"/>
          <w:b/>
          <w:sz w:val="28"/>
        </w:rPr>
        <w:br w:type="page"/>
      </w:r>
      <w:r w:rsidRPr="002A0AD3">
        <w:rPr>
          <w:rFonts w:asciiTheme="minorHAnsi" w:hAnsiTheme="minorHAnsi"/>
          <w:b/>
          <w:sz w:val="28"/>
        </w:rPr>
        <w:lastRenderedPageBreak/>
        <w:t>Oregon Tech–Klamath Falls</w:t>
      </w:r>
      <w:r>
        <w:rPr>
          <w:rFonts w:asciiTheme="minorHAnsi" w:hAnsiTheme="minorHAnsi"/>
          <w:b/>
          <w:sz w:val="28"/>
        </w:rPr>
        <w:t xml:space="preserve"> – 201</w:t>
      </w:r>
      <w:r w:rsidR="00CA2AB6">
        <w:rPr>
          <w:rFonts w:asciiTheme="minorHAnsi" w:hAnsiTheme="minorHAnsi"/>
          <w:b/>
          <w:sz w:val="28"/>
        </w:rPr>
        <w:t>7</w:t>
      </w:r>
      <w:r>
        <w:rPr>
          <w:rFonts w:asciiTheme="minorHAnsi" w:hAnsiTheme="minorHAnsi"/>
          <w:b/>
          <w:sz w:val="28"/>
        </w:rPr>
        <w:t>-1</w:t>
      </w:r>
      <w:r w:rsidR="00CA2AB6">
        <w:rPr>
          <w:rFonts w:asciiTheme="minorHAnsi" w:hAnsiTheme="minorHAnsi"/>
          <w:b/>
          <w:sz w:val="28"/>
        </w:rPr>
        <w:t>8</w:t>
      </w:r>
      <w:r>
        <w:rPr>
          <w:rFonts w:asciiTheme="minorHAnsi" w:hAnsiTheme="minorHAnsi"/>
          <w:b/>
          <w:sz w:val="28"/>
        </w:rPr>
        <w:t xml:space="preserve"> Academic Year</w:t>
      </w:r>
    </w:p>
    <w:p w14:paraId="65D56FA4" w14:textId="77777777" w:rsidR="00846B0D" w:rsidRPr="00AB21B1" w:rsidRDefault="00846B0D" w:rsidP="00846B0D">
      <w:pPr>
        <w:pStyle w:val="Heading3"/>
      </w:pPr>
      <w:bookmarkStart w:id="104" w:name="_Toc421521613"/>
      <w:r w:rsidRPr="00AB21B1">
        <w:t>Differential Programs</w:t>
      </w:r>
      <w:r>
        <w:t>—</w:t>
      </w:r>
      <w:r w:rsidRPr="00AB21B1">
        <w:t>Undergraduate</w:t>
      </w:r>
      <w:bookmarkEnd w:id="104"/>
    </w:p>
    <w:p w14:paraId="4828D313" w14:textId="77777777" w:rsidR="00846B0D" w:rsidRPr="00282BFE" w:rsidRDefault="00846B0D" w:rsidP="00846B0D">
      <w:pPr>
        <w:ind w:right="12"/>
        <w:jc w:val="center"/>
        <w:rPr>
          <w:rFonts w:asciiTheme="minorHAnsi" w:hAnsiTheme="minorHAnsi"/>
          <w:b/>
          <w:sz w:val="24"/>
        </w:rPr>
      </w:pPr>
      <w:r w:rsidRPr="00282BFE">
        <w:rPr>
          <w:rFonts w:asciiTheme="minorHAnsi" w:hAnsiTheme="minorHAnsi"/>
          <w:b/>
          <w:sz w:val="24"/>
        </w:rPr>
        <w:t>Per Term</w:t>
      </w:r>
    </w:p>
    <w:p w14:paraId="61365A57" w14:textId="77777777" w:rsidR="00846B0D" w:rsidRPr="00282BFE" w:rsidRDefault="00846B0D" w:rsidP="00846B0D">
      <w:pPr>
        <w:ind w:right="12"/>
        <w:jc w:val="center"/>
        <w:rPr>
          <w:rFonts w:asciiTheme="minorHAnsi" w:hAnsiTheme="minorHAnsi"/>
          <w:b/>
          <w:color w:val="FF0000"/>
          <w:sz w:val="24"/>
        </w:rPr>
      </w:pPr>
    </w:p>
    <w:p w14:paraId="7D349EA8" w14:textId="77777777" w:rsidR="00846B0D" w:rsidRDefault="00846B0D" w:rsidP="00846B0D">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66B7982D" w14:textId="77777777" w:rsidR="00846B0D" w:rsidRPr="00282BFE" w:rsidRDefault="00846B0D" w:rsidP="00846B0D">
      <w:pPr>
        <w:ind w:right="12"/>
        <w:jc w:val="both"/>
        <w:rPr>
          <w:rFonts w:asciiTheme="minorHAnsi" w:hAnsiTheme="minorHAnsi"/>
          <w:i/>
          <w:sz w:val="24"/>
        </w:rPr>
      </w:pPr>
    </w:p>
    <w:p w14:paraId="2C55EE02" w14:textId="77777777" w:rsidR="00846B0D" w:rsidRPr="001242C7" w:rsidRDefault="00846B0D" w:rsidP="00846B0D">
      <w:pPr>
        <w:rPr>
          <w:rFonts w:asciiTheme="minorHAnsi" w:hAnsiTheme="minorHAnsi"/>
          <w:b/>
          <w:i/>
          <w:sz w:val="24"/>
        </w:rPr>
      </w:pPr>
      <w:r w:rsidRPr="001242C7">
        <w:rPr>
          <w:rFonts w:asciiTheme="minorHAnsi" w:hAnsiTheme="minorHAnsi"/>
          <w:b/>
          <w:i/>
          <w:sz w:val="24"/>
        </w:rPr>
        <w:t xml:space="preserve">Engineering &amp; Technology </w:t>
      </w:r>
    </w:p>
    <w:p w14:paraId="77989FA2" w14:textId="77777777" w:rsidR="00846B0D" w:rsidRDefault="00846B0D">
      <w:pPr>
        <w:rPr>
          <w:rFonts w:asciiTheme="minorHAnsi" w:hAnsiTheme="minorHAnsi"/>
          <w:b/>
          <w:sz w:val="28"/>
        </w:rPr>
      </w:pPr>
    </w:p>
    <w:p w14:paraId="3531130C" w14:textId="77777777" w:rsidR="00846B0D" w:rsidRDefault="00846B0D">
      <w:pPr>
        <w:rPr>
          <w:rFonts w:asciiTheme="minorHAnsi" w:hAnsiTheme="minorHAnsi"/>
          <w:b/>
          <w:sz w:val="28"/>
        </w:rPr>
      </w:pPr>
    </w:p>
    <w:p w14:paraId="36B47D51" w14:textId="41C8CFE1" w:rsidR="00846B0D" w:rsidRDefault="00AD2ABF" w:rsidP="00846B0D">
      <w:pPr>
        <w:jc w:val="center"/>
        <w:rPr>
          <w:rFonts w:asciiTheme="minorHAnsi" w:hAnsiTheme="minorHAnsi"/>
          <w:b/>
          <w:sz w:val="28"/>
        </w:rPr>
      </w:pPr>
      <w:r>
        <w:rPr>
          <w:rFonts w:asciiTheme="minorHAnsi" w:hAnsiTheme="minorHAnsi"/>
          <w:b/>
          <w:noProof/>
          <w:sz w:val="28"/>
        </w:rPr>
        <w:drawing>
          <wp:inline distT="0" distB="0" distL="0" distR="0" wp14:anchorId="4FDBC780" wp14:editId="0DA7EA67">
            <wp:extent cx="2606040" cy="59253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ineering &amp; Technology.JPG"/>
                    <pic:cNvPicPr/>
                  </pic:nvPicPr>
                  <pic:blipFill>
                    <a:blip r:embed="rId14">
                      <a:extLst>
                        <a:ext uri="{28A0092B-C50C-407E-A947-70E740481C1C}">
                          <a14:useLocalDpi xmlns:a14="http://schemas.microsoft.com/office/drawing/2010/main" val="0"/>
                        </a:ext>
                      </a:extLst>
                    </a:blip>
                    <a:stretch>
                      <a:fillRect/>
                    </a:stretch>
                  </pic:blipFill>
                  <pic:spPr>
                    <a:xfrm>
                      <a:off x="0" y="0"/>
                      <a:ext cx="2606040" cy="5925312"/>
                    </a:xfrm>
                    <a:prstGeom prst="rect">
                      <a:avLst/>
                    </a:prstGeom>
                  </pic:spPr>
                </pic:pic>
              </a:graphicData>
            </a:graphic>
          </wp:inline>
        </w:drawing>
      </w:r>
    </w:p>
    <w:p w14:paraId="45384A9E" w14:textId="77777777" w:rsidR="00846B0D" w:rsidRDefault="00846B0D">
      <w:pPr>
        <w:rPr>
          <w:rFonts w:asciiTheme="minorHAnsi" w:hAnsiTheme="minorHAnsi"/>
          <w:b/>
          <w:sz w:val="28"/>
        </w:rPr>
      </w:pPr>
      <w:r>
        <w:rPr>
          <w:rFonts w:asciiTheme="minorHAnsi" w:hAnsiTheme="minorHAnsi"/>
          <w:b/>
          <w:sz w:val="28"/>
        </w:rPr>
        <w:br w:type="page"/>
      </w:r>
    </w:p>
    <w:p w14:paraId="1B936019" w14:textId="23239E55" w:rsidR="00846B0D" w:rsidRPr="002A0AD3" w:rsidRDefault="00846B0D" w:rsidP="00846B0D">
      <w:pPr>
        <w:shd w:val="clear" w:color="auto" w:fill="DBE5F1" w:themeFill="accent1" w:themeFillTint="33"/>
        <w:ind w:right="12"/>
        <w:jc w:val="center"/>
        <w:rPr>
          <w:rFonts w:asciiTheme="minorHAnsi" w:hAnsiTheme="minorHAnsi"/>
          <w:b/>
          <w:sz w:val="28"/>
        </w:rPr>
      </w:pPr>
      <w:r w:rsidRPr="002A0AD3">
        <w:rPr>
          <w:rFonts w:asciiTheme="minorHAnsi" w:hAnsiTheme="minorHAnsi"/>
          <w:b/>
          <w:sz w:val="28"/>
        </w:rPr>
        <w:lastRenderedPageBreak/>
        <w:t>Oregon Tech–Klamath Falls</w:t>
      </w:r>
      <w:r>
        <w:rPr>
          <w:rFonts w:asciiTheme="minorHAnsi" w:hAnsiTheme="minorHAnsi"/>
          <w:b/>
          <w:sz w:val="28"/>
        </w:rPr>
        <w:t xml:space="preserve"> – 201</w:t>
      </w:r>
      <w:r w:rsidR="00CA2AB6">
        <w:rPr>
          <w:rFonts w:asciiTheme="minorHAnsi" w:hAnsiTheme="minorHAnsi"/>
          <w:b/>
          <w:sz w:val="28"/>
        </w:rPr>
        <w:t>7</w:t>
      </w:r>
      <w:r>
        <w:rPr>
          <w:rFonts w:asciiTheme="minorHAnsi" w:hAnsiTheme="minorHAnsi"/>
          <w:b/>
          <w:sz w:val="28"/>
        </w:rPr>
        <w:t>-1</w:t>
      </w:r>
      <w:r w:rsidR="00CA2AB6">
        <w:rPr>
          <w:rFonts w:asciiTheme="minorHAnsi" w:hAnsiTheme="minorHAnsi"/>
          <w:b/>
          <w:sz w:val="28"/>
        </w:rPr>
        <w:t>8</w:t>
      </w:r>
      <w:r>
        <w:rPr>
          <w:rFonts w:asciiTheme="minorHAnsi" w:hAnsiTheme="minorHAnsi"/>
          <w:b/>
          <w:sz w:val="28"/>
        </w:rPr>
        <w:t xml:space="preserve"> Academic Year</w:t>
      </w:r>
    </w:p>
    <w:p w14:paraId="7FDA6A9B" w14:textId="77777777" w:rsidR="00846B0D" w:rsidRPr="00AB21B1" w:rsidRDefault="00846B0D" w:rsidP="00846B0D">
      <w:pPr>
        <w:pStyle w:val="Heading3"/>
      </w:pPr>
      <w:r w:rsidRPr="00AB21B1">
        <w:t>Differential Programs</w:t>
      </w:r>
      <w:r>
        <w:t>—</w:t>
      </w:r>
      <w:r w:rsidRPr="00AB21B1">
        <w:t>Graduate</w:t>
      </w:r>
    </w:p>
    <w:p w14:paraId="7938C01B" w14:textId="77777777" w:rsidR="00846B0D" w:rsidRPr="00282BFE" w:rsidRDefault="00846B0D" w:rsidP="00846B0D">
      <w:pPr>
        <w:ind w:right="12"/>
        <w:jc w:val="center"/>
        <w:rPr>
          <w:rFonts w:asciiTheme="minorHAnsi" w:hAnsiTheme="minorHAnsi"/>
          <w:b/>
          <w:sz w:val="24"/>
        </w:rPr>
      </w:pPr>
      <w:r w:rsidRPr="00282BFE">
        <w:rPr>
          <w:rFonts w:asciiTheme="minorHAnsi" w:hAnsiTheme="minorHAnsi"/>
          <w:b/>
          <w:sz w:val="24"/>
        </w:rPr>
        <w:t>Per Term</w:t>
      </w:r>
    </w:p>
    <w:p w14:paraId="112EB922" w14:textId="77777777" w:rsidR="00846B0D" w:rsidRPr="00282BFE" w:rsidRDefault="00846B0D" w:rsidP="00846B0D">
      <w:pPr>
        <w:ind w:right="12"/>
        <w:jc w:val="center"/>
        <w:rPr>
          <w:rFonts w:asciiTheme="minorHAnsi" w:hAnsiTheme="minorHAnsi"/>
          <w:b/>
          <w:sz w:val="24"/>
        </w:rPr>
      </w:pPr>
    </w:p>
    <w:p w14:paraId="4881016D" w14:textId="77777777" w:rsidR="00846B0D" w:rsidRDefault="00846B0D" w:rsidP="00846B0D">
      <w:pPr>
        <w:ind w:right="12"/>
        <w:jc w:val="both"/>
        <w:rPr>
          <w:rFonts w:asciiTheme="minorHAnsi" w:hAnsiTheme="minorHAnsi"/>
          <w:i/>
          <w:sz w:val="24"/>
        </w:rPr>
      </w:pPr>
      <w:r w:rsidRPr="00282BFE">
        <w:rPr>
          <w:rFonts w:asciiTheme="minorHAnsi" w:hAnsiTheme="minorHAnsi"/>
          <w:i/>
          <w:sz w:val="24"/>
        </w:rPr>
        <w:t>Data in this table represents Tuition Costs only and does not include Mandatory Fees. The Mandatory Fee information can be found in the Mandatory Fee Tables for this institution</w:t>
      </w:r>
      <w:r>
        <w:rPr>
          <w:rFonts w:asciiTheme="minorHAnsi" w:hAnsiTheme="minorHAnsi"/>
          <w:i/>
          <w:sz w:val="24"/>
        </w:rPr>
        <w:t>.</w:t>
      </w:r>
    </w:p>
    <w:p w14:paraId="182095A8" w14:textId="77777777" w:rsidR="00846B0D" w:rsidRPr="00282BFE" w:rsidRDefault="00846B0D" w:rsidP="00846B0D">
      <w:pPr>
        <w:ind w:right="12"/>
        <w:jc w:val="both"/>
        <w:rPr>
          <w:rFonts w:asciiTheme="minorHAnsi" w:hAnsiTheme="minorHAnsi"/>
          <w:i/>
          <w:sz w:val="24"/>
        </w:rPr>
      </w:pPr>
    </w:p>
    <w:p w14:paraId="351A0674" w14:textId="77777777" w:rsidR="00846B0D" w:rsidRPr="00282BFE" w:rsidRDefault="00846B0D" w:rsidP="00846B0D">
      <w:pPr>
        <w:ind w:right="12"/>
        <w:rPr>
          <w:rFonts w:asciiTheme="minorHAnsi" w:hAnsiTheme="minorHAnsi"/>
          <w:i/>
          <w:sz w:val="24"/>
        </w:rPr>
      </w:pPr>
    </w:p>
    <w:p w14:paraId="4276615D" w14:textId="1279151B" w:rsidR="00846B0D" w:rsidRDefault="00EA55D2" w:rsidP="00846B0D">
      <w:pPr>
        <w:rPr>
          <w:rFonts w:asciiTheme="minorHAnsi" w:hAnsiTheme="minorHAnsi"/>
          <w:b/>
          <w:i/>
          <w:sz w:val="24"/>
        </w:rPr>
      </w:pPr>
      <w:r>
        <w:rPr>
          <w:rFonts w:asciiTheme="minorHAnsi" w:hAnsiTheme="minorHAnsi"/>
          <w:b/>
          <w:i/>
          <w:sz w:val="24"/>
        </w:rPr>
        <w:t>Engineering &amp; Technology</w:t>
      </w:r>
    </w:p>
    <w:p w14:paraId="4A327CED" w14:textId="0DEF7E3F" w:rsidR="00205877" w:rsidRDefault="00205877" w:rsidP="00846B0D">
      <w:pPr>
        <w:rPr>
          <w:rFonts w:asciiTheme="minorHAnsi" w:hAnsiTheme="minorHAnsi"/>
          <w:b/>
          <w:i/>
          <w:sz w:val="24"/>
        </w:rPr>
      </w:pPr>
    </w:p>
    <w:p w14:paraId="37CAEAD0" w14:textId="364F48CA" w:rsidR="00205877" w:rsidRDefault="00EF213F" w:rsidP="00794A70">
      <w:pPr>
        <w:jc w:val="center"/>
        <w:rPr>
          <w:rFonts w:asciiTheme="minorHAnsi" w:hAnsiTheme="minorHAnsi"/>
          <w:b/>
          <w:i/>
          <w:sz w:val="24"/>
        </w:rPr>
      </w:pPr>
      <w:r>
        <w:rPr>
          <w:rFonts w:asciiTheme="minorHAnsi" w:hAnsiTheme="minorHAnsi"/>
          <w:b/>
          <w:i/>
          <w:noProof/>
          <w:sz w:val="24"/>
        </w:rPr>
        <w:drawing>
          <wp:inline distT="0" distB="0" distL="0" distR="0" wp14:anchorId="24D1B4AE" wp14:editId="77DEB83F">
            <wp:extent cx="2606040" cy="5934456"/>
            <wp:effectExtent l="0" t="0" r="3810"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Engineering &amp; Technology Graduate KF.JPG"/>
                    <pic:cNvPicPr/>
                  </pic:nvPicPr>
                  <pic:blipFill>
                    <a:blip r:embed="rId15">
                      <a:extLst>
                        <a:ext uri="{28A0092B-C50C-407E-A947-70E740481C1C}">
                          <a14:useLocalDpi xmlns:a14="http://schemas.microsoft.com/office/drawing/2010/main" val="0"/>
                        </a:ext>
                      </a:extLst>
                    </a:blip>
                    <a:stretch>
                      <a:fillRect/>
                    </a:stretch>
                  </pic:blipFill>
                  <pic:spPr>
                    <a:xfrm>
                      <a:off x="0" y="0"/>
                      <a:ext cx="2606040" cy="5934456"/>
                    </a:xfrm>
                    <a:prstGeom prst="rect">
                      <a:avLst/>
                    </a:prstGeom>
                  </pic:spPr>
                </pic:pic>
              </a:graphicData>
            </a:graphic>
          </wp:inline>
        </w:drawing>
      </w:r>
    </w:p>
    <w:p w14:paraId="1AA8499F" w14:textId="77777777" w:rsidR="00EF213F" w:rsidRDefault="00EF213F" w:rsidP="00794A70">
      <w:pPr>
        <w:jc w:val="center"/>
        <w:rPr>
          <w:rFonts w:asciiTheme="minorHAnsi" w:hAnsiTheme="minorHAnsi"/>
          <w:b/>
          <w:i/>
          <w:sz w:val="24"/>
        </w:rPr>
      </w:pPr>
    </w:p>
    <w:p w14:paraId="528202BA" w14:textId="77777777" w:rsidR="00846B0D" w:rsidRDefault="00846B0D">
      <w:pPr>
        <w:rPr>
          <w:rFonts w:asciiTheme="minorHAnsi" w:hAnsiTheme="minorHAnsi"/>
          <w:b/>
          <w:sz w:val="28"/>
        </w:rPr>
      </w:pPr>
    </w:p>
    <w:p w14:paraId="60AF8085" w14:textId="3E0B1BF9" w:rsidR="00846B0D" w:rsidRDefault="00846B0D" w:rsidP="00846B0D">
      <w:pPr>
        <w:jc w:val="center"/>
        <w:rPr>
          <w:rFonts w:asciiTheme="minorHAnsi" w:hAnsiTheme="minorHAnsi"/>
          <w:b/>
          <w:sz w:val="28"/>
        </w:rPr>
      </w:pPr>
    </w:p>
    <w:p w14:paraId="32392C33" w14:textId="77777777" w:rsidR="00A727C1" w:rsidRPr="00282BFE" w:rsidRDefault="00A727C1" w:rsidP="00A727C1">
      <w:pPr>
        <w:pStyle w:val="Heading2"/>
        <w:shd w:val="clear" w:color="auto" w:fill="DBE5F1" w:themeFill="accent1" w:themeFillTint="33"/>
        <w:jc w:val="center"/>
        <w:rPr>
          <w:lang w:val="en-US"/>
        </w:rPr>
      </w:pPr>
      <w:bookmarkStart w:id="105" w:name="_Toc421521615"/>
      <w:bookmarkStart w:id="106" w:name="_Toc322438395"/>
      <w:bookmarkStart w:id="107" w:name="_Toc322440181"/>
      <w:bookmarkStart w:id="108" w:name="_Toc322440264"/>
      <w:r w:rsidRPr="00282BFE">
        <w:rPr>
          <w:lang w:val="en-US"/>
        </w:rPr>
        <w:lastRenderedPageBreak/>
        <w:t>Oregon Tech</w:t>
      </w:r>
      <w:r>
        <w:rPr>
          <w:lang w:val="en-US"/>
        </w:rPr>
        <w:t xml:space="preserve">–Shared Campus Programs – </w:t>
      </w:r>
      <w:r w:rsidR="00E6138E">
        <w:rPr>
          <w:lang w:val="en-US"/>
        </w:rPr>
        <w:t>201</w:t>
      </w:r>
      <w:r w:rsidR="00C8581A">
        <w:rPr>
          <w:lang w:val="en-US"/>
        </w:rPr>
        <w:t>7</w:t>
      </w:r>
      <w:r w:rsidR="00E6138E">
        <w:rPr>
          <w:lang w:val="en-US"/>
        </w:rPr>
        <w:t>-1</w:t>
      </w:r>
      <w:r w:rsidR="00C8581A">
        <w:rPr>
          <w:lang w:val="en-US"/>
        </w:rPr>
        <w:t>8</w:t>
      </w:r>
      <w:r>
        <w:rPr>
          <w:lang w:val="en-US"/>
        </w:rPr>
        <w:t xml:space="preserve"> Academic Year</w:t>
      </w:r>
      <w:bookmarkEnd w:id="105"/>
    </w:p>
    <w:p w14:paraId="0A721915" w14:textId="77777777" w:rsidR="00A727C1" w:rsidRPr="00282BFE" w:rsidRDefault="00A727C1" w:rsidP="00A727C1">
      <w:pPr>
        <w:pStyle w:val="Heading2"/>
        <w:shd w:val="clear" w:color="auto" w:fill="DBE5F1" w:themeFill="accent1" w:themeFillTint="33"/>
        <w:jc w:val="center"/>
        <w:rPr>
          <w:lang w:val="en-US"/>
        </w:rPr>
      </w:pPr>
    </w:p>
    <w:bookmarkEnd w:id="106"/>
    <w:bookmarkEnd w:id="107"/>
    <w:bookmarkEnd w:id="108"/>
    <w:p w14:paraId="5638F30D" w14:textId="34EA72E0" w:rsidR="00A727C1" w:rsidRDefault="00A727C1" w:rsidP="00F65320">
      <w:pPr>
        <w:ind w:right="12"/>
        <w:jc w:val="center"/>
        <w:rPr>
          <w:rFonts w:asciiTheme="minorHAnsi" w:hAnsiTheme="minorHAnsi"/>
          <w:b/>
          <w:sz w:val="24"/>
        </w:rPr>
      </w:pPr>
    </w:p>
    <w:p w14:paraId="61D10AF1" w14:textId="20ECE859" w:rsidR="009D6E84" w:rsidRPr="00282BFE" w:rsidRDefault="009D6E84" w:rsidP="00F65320">
      <w:pPr>
        <w:ind w:right="12"/>
        <w:jc w:val="center"/>
        <w:rPr>
          <w:rFonts w:asciiTheme="minorHAnsi" w:hAnsiTheme="minorHAnsi"/>
          <w:b/>
          <w:sz w:val="24"/>
        </w:rPr>
      </w:pPr>
      <w:r w:rsidRPr="00282BFE">
        <w:rPr>
          <w:rFonts w:asciiTheme="minorHAnsi" w:hAnsiTheme="minorHAnsi"/>
          <w:b/>
          <w:sz w:val="24"/>
        </w:rPr>
        <w:t>Per Term</w:t>
      </w:r>
    </w:p>
    <w:p w14:paraId="2B9DBBDC" w14:textId="1500AF5C" w:rsidR="009D6E84" w:rsidRPr="00282BFE" w:rsidRDefault="009D6E84" w:rsidP="00F65320">
      <w:pPr>
        <w:ind w:right="12"/>
        <w:jc w:val="center"/>
        <w:rPr>
          <w:rFonts w:asciiTheme="minorHAnsi" w:hAnsiTheme="minorHAnsi"/>
          <w:sz w:val="24"/>
        </w:rPr>
      </w:pPr>
    </w:p>
    <w:p w14:paraId="5D3CA782" w14:textId="0AC501A6" w:rsidR="009D6E84" w:rsidRPr="00A727C1" w:rsidRDefault="00C8581A" w:rsidP="00A727C1">
      <w:pPr>
        <w:pStyle w:val="Heading3"/>
        <w:jc w:val="left"/>
        <w:rPr>
          <w:i/>
          <w:sz w:val="24"/>
        </w:rPr>
      </w:pPr>
      <w:bookmarkStart w:id="109" w:name="_Toc322438396"/>
      <w:bookmarkStart w:id="110" w:name="_Toc421521616"/>
      <w:r>
        <w:rPr>
          <w:i/>
          <w:sz w:val="24"/>
        </w:rPr>
        <w:t>Medical</w:t>
      </w:r>
      <w:r w:rsidR="00DE1B71" w:rsidRPr="00A727C1">
        <w:rPr>
          <w:i/>
          <w:sz w:val="24"/>
        </w:rPr>
        <w:t xml:space="preserve"> Lab Science</w:t>
      </w:r>
      <w:r w:rsidR="002A0AD3" w:rsidRPr="00A727C1">
        <w:rPr>
          <w:i/>
          <w:sz w:val="24"/>
        </w:rPr>
        <w:t>–</w:t>
      </w:r>
      <w:r w:rsidR="00DE1B71" w:rsidRPr="00A727C1">
        <w:rPr>
          <w:i/>
          <w:sz w:val="24"/>
        </w:rPr>
        <w:t>OHSU</w:t>
      </w:r>
      <w:bookmarkEnd w:id="109"/>
      <w:bookmarkEnd w:id="110"/>
      <w:r w:rsidR="00DE1B71" w:rsidRPr="00A727C1">
        <w:rPr>
          <w:i/>
          <w:sz w:val="24"/>
        </w:rPr>
        <w:t xml:space="preserve"> </w:t>
      </w:r>
    </w:p>
    <w:p w14:paraId="7AF31617" w14:textId="06693208" w:rsidR="00C50304" w:rsidRPr="00282BFE" w:rsidRDefault="00C50304" w:rsidP="00C50304">
      <w:pPr>
        <w:rPr>
          <w:rFonts w:asciiTheme="minorHAnsi" w:hAnsiTheme="minorHAnsi"/>
          <w:sz w:val="24"/>
        </w:rPr>
      </w:pPr>
    </w:p>
    <w:p w14:paraId="5AA377D3" w14:textId="16B8E222" w:rsidR="00330E09" w:rsidRPr="00282BFE" w:rsidRDefault="00A638CB" w:rsidP="00F65320">
      <w:pPr>
        <w:ind w:right="12"/>
        <w:jc w:val="center"/>
        <w:rPr>
          <w:rFonts w:asciiTheme="minorHAnsi" w:hAnsiTheme="minorHAnsi"/>
          <w:sz w:val="24"/>
        </w:rPr>
      </w:pPr>
      <w:r>
        <w:rPr>
          <w:rFonts w:asciiTheme="minorHAnsi" w:hAnsiTheme="minorHAnsi"/>
          <w:noProof/>
          <w:sz w:val="24"/>
        </w:rPr>
        <w:drawing>
          <wp:inline distT="0" distB="0" distL="0" distR="0" wp14:anchorId="4DC7EB4C" wp14:editId="5098D84A">
            <wp:extent cx="6868885" cy="5610225"/>
            <wp:effectExtent l="0" t="0" r="825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MLS Table.JPG"/>
                    <pic:cNvPicPr/>
                  </pic:nvPicPr>
                  <pic:blipFill>
                    <a:blip r:embed="rId16">
                      <a:extLst>
                        <a:ext uri="{28A0092B-C50C-407E-A947-70E740481C1C}">
                          <a14:useLocalDpi xmlns:a14="http://schemas.microsoft.com/office/drawing/2010/main" val="0"/>
                        </a:ext>
                      </a:extLst>
                    </a:blip>
                    <a:stretch>
                      <a:fillRect/>
                    </a:stretch>
                  </pic:blipFill>
                  <pic:spPr>
                    <a:xfrm>
                      <a:off x="0" y="0"/>
                      <a:ext cx="6910475" cy="5644194"/>
                    </a:xfrm>
                    <a:prstGeom prst="rect">
                      <a:avLst/>
                    </a:prstGeom>
                  </pic:spPr>
                </pic:pic>
              </a:graphicData>
            </a:graphic>
          </wp:inline>
        </w:drawing>
      </w:r>
    </w:p>
    <w:p w14:paraId="4C38C313" w14:textId="625928A9" w:rsidR="001D23C2" w:rsidRDefault="001D23C2" w:rsidP="00F65320">
      <w:pPr>
        <w:ind w:right="12"/>
        <w:jc w:val="center"/>
        <w:rPr>
          <w:rFonts w:asciiTheme="minorHAnsi" w:hAnsiTheme="minorHAnsi"/>
          <w:sz w:val="24"/>
        </w:rPr>
      </w:pPr>
    </w:p>
    <w:p w14:paraId="1179BB61" w14:textId="061645DE" w:rsidR="00A638CB" w:rsidRDefault="00A638CB" w:rsidP="00F65320">
      <w:pPr>
        <w:ind w:right="12"/>
        <w:jc w:val="center"/>
        <w:rPr>
          <w:rFonts w:asciiTheme="minorHAnsi" w:hAnsiTheme="minorHAnsi"/>
          <w:sz w:val="24"/>
        </w:rPr>
      </w:pPr>
    </w:p>
    <w:p w14:paraId="1F831005" w14:textId="020A5667" w:rsidR="00A638CB" w:rsidRDefault="00A638CB" w:rsidP="00F65320">
      <w:pPr>
        <w:ind w:right="12"/>
        <w:jc w:val="center"/>
        <w:rPr>
          <w:rFonts w:asciiTheme="minorHAnsi" w:hAnsiTheme="minorHAnsi"/>
          <w:sz w:val="24"/>
        </w:rPr>
      </w:pPr>
    </w:p>
    <w:p w14:paraId="61A164F0" w14:textId="07AA3BE3" w:rsidR="00A638CB" w:rsidRDefault="00A638CB" w:rsidP="00F65320">
      <w:pPr>
        <w:ind w:right="12"/>
        <w:jc w:val="center"/>
        <w:rPr>
          <w:rFonts w:asciiTheme="minorHAnsi" w:hAnsiTheme="minorHAnsi"/>
          <w:sz w:val="24"/>
        </w:rPr>
      </w:pPr>
    </w:p>
    <w:p w14:paraId="28C81EC6" w14:textId="20516B52" w:rsidR="00A638CB" w:rsidRDefault="00A638CB" w:rsidP="00F65320">
      <w:pPr>
        <w:ind w:right="12"/>
        <w:jc w:val="center"/>
        <w:rPr>
          <w:rFonts w:asciiTheme="minorHAnsi" w:hAnsiTheme="minorHAnsi"/>
          <w:sz w:val="24"/>
        </w:rPr>
      </w:pPr>
    </w:p>
    <w:p w14:paraId="6E8EF703" w14:textId="7DA72034" w:rsidR="00A638CB" w:rsidRDefault="00A638CB" w:rsidP="00F65320">
      <w:pPr>
        <w:ind w:right="12"/>
        <w:jc w:val="center"/>
        <w:rPr>
          <w:rFonts w:asciiTheme="minorHAnsi" w:hAnsiTheme="minorHAnsi"/>
          <w:sz w:val="24"/>
        </w:rPr>
      </w:pPr>
    </w:p>
    <w:p w14:paraId="0F8B5D4F" w14:textId="70876142" w:rsidR="00A638CB" w:rsidRDefault="00A638CB" w:rsidP="00F65320">
      <w:pPr>
        <w:ind w:right="12"/>
        <w:jc w:val="center"/>
        <w:rPr>
          <w:rFonts w:asciiTheme="minorHAnsi" w:hAnsiTheme="minorHAnsi"/>
          <w:sz w:val="24"/>
        </w:rPr>
      </w:pPr>
    </w:p>
    <w:p w14:paraId="14AB1EB6" w14:textId="03C5D7CE" w:rsidR="00A638CB" w:rsidRDefault="00A638CB" w:rsidP="00F65320">
      <w:pPr>
        <w:ind w:right="12"/>
        <w:jc w:val="center"/>
        <w:rPr>
          <w:rFonts w:asciiTheme="minorHAnsi" w:hAnsiTheme="minorHAnsi"/>
          <w:sz w:val="24"/>
        </w:rPr>
      </w:pPr>
    </w:p>
    <w:p w14:paraId="57F4A957" w14:textId="77777777" w:rsidR="00A638CB" w:rsidRPr="00282BFE" w:rsidRDefault="00A638CB" w:rsidP="00F65320">
      <w:pPr>
        <w:ind w:right="12"/>
        <w:jc w:val="center"/>
        <w:rPr>
          <w:rFonts w:asciiTheme="minorHAnsi" w:hAnsiTheme="minorHAnsi"/>
          <w:sz w:val="24"/>
        </w:rPr>
      </w:pPr>
    </w:p>
    <w:p w14:paraId="38A09F8C" w14:textId="0C4657DB" w:rsidR="00DE1B71" w:rsidRPr="00282BFE" w:rsidRDefault="00DE1B71" w:rsidP="00F65320">
      <w:pPr>
        <w:ind w:right="12"/>
        <w:jc w:val="center"/>
        <w:rPr>
          <w:rFonts w:asciiTheme="minorHAnsi" w:hAnsiTheme="minorHAnsi"/>
          <w:sz w:val="24"/>
        </w:rPr>
      </w:pPr>
    </w:p>
    <w:p w14:paraId="34EF7B47" w14:textId="77777777" w:rsidR="00A638CB" w:rsidRDefault="00A638CB" w:rsidP="002B0F3D">
      <w:pPr>
        <w:shd w:val="clear" w:color="auto" w:fill="DBE5F1" w:themeFill="accent1" w:themeFillTint="33"/>
        <w:ind w:right="12"/>
        <w:jc w:val="center"/>
        <w:rPr>
          <w:rFonts w:asciiTheme="minorHAnsi" w:hAnsiTheme="minorHAnsi"/>
          <w:b/>
          <w:sz w:val="28"/>
        </w:rPr>
      </w:pPr>
    </w:p>
    <w:p w14:paraId="05158A11" w14:textId="4FDEE477" w:rsidR="00330E09" w:rsidRPr="002A0AD3" w:rsidRDefault="000C70FA" w:rsidP="002B0F3D">
      <w:pPr>
        <w:shd w:val="clear" w:color="auto" w:fill="DBE5F1" w:themeFill="accent1" w:themeFillTint="33"/>
        <w:ind w:right="12"/>
        <w:jc w:val="center"/>
        <w:rPr>
          <w:rFonts w:asciiTheme="minorHAnsi" w:hAnsiTheme="minorHAnsi"/>
          <w:b/>
          <w:sz w:val="28"/>
        </w:rPr>
      </w:pPr>
      <w:r w:rsidRPr="002A0AD3">
        <w:rPr>
          <w:rFonts w:asciiTheme="minorHAnsi" w:hAnsiTheme="minorHAnsi"/>
          <w:b/>
          <w:sz w:val="28"/>
        </w:rPr>
        <w:t>Oregon Tech</w:t>
      </w:r>
      <w:r w:rsidR="00F62CAB">
        <w:rPr>
          <w:rFonts w:asciiTheme="minorHAnsi" w:hAnsiTheme="minorHAnsi"/>
          <w:b/>
          <w:sz w:val="28"/>
        </w:rPr>
        <w:t>-Shared Campus Programs</w:t>
      </w:r>
      <w:r w:rsidR="00330E09" w:rsidRPr="002A0AD3">
        <w:rPr>
          <w:rFonts w:asciiTheme="minorHAnsi" w:hAnsiTheme="minorHAnsi"/>
          <w:b/>
          <w:sz w:val="28"/>
        </w:rPr>
        <w:t xml:space="preserve"> </w:t>
      </w:r>
      <w:r w:rsidR="002C4F55">
        <w:rPr>
          <w:rFonts w:asciiTheme="minorHAnsi" w:hAnsiTheme="minorHAnsi"/>
          <w:b/>
          <w:sz w:val="28"/>
        </w:rPr>
        <w:t xml:space="preserve">– </w:t>
      </w:r>
      <w:r w:rsidR="00E6138E">
        <w:rPr>
          <w:rFonts w:asciiTheme="minorHAnsi" w:hAnsiTheme="minorHAnsi"/>
          <w:b/>
          <w:sz w:val="28"/>
        </w:rPr>
        <w:t>201</w:t>
      </w:r>
      <w:r w:rsidR="00F02B93">
        <w:rPr>
          <w:rFonts w:asciiTheme="minorHAnsi" w:hAnsiTheme="minorHAnsi"/>
          <w:b/>
          <w:sz w:val="28"/>
        </w:rPr>
        <w:t>7</w:t>
      </w:r>
      <w:r w:rsidR="00E6138E">
        <w:rPr>
          <w:rFonts w:asciiTheme="minorHAnsi" w:hAnsiTheme="minorHAnsi"/>
          <w:b/>
          <w:sz w:val="28"/>
        </w:rPr>
        <w:t>-1</w:t>
      </w:r>
      <w:r w:rsidR="00F02B93">
        <w:rPr>
          <w:rFonts w:asciiTheme="minorHAnsi" w:hAnsiTheme="minorHAnsi"/>
          <w:b/>
          <w:sz w:val="28"/>
        </w:rPr>
        <w:t>8</w:t>
      </w:r>
      <w:r w:rsidR="002C4F55">
        <w:rPr>
          <w:rFonts w:asciiTheme="minorHAnsi" w:hAnsiTheme="minorHAnsi"/>
          <w:b/>
          <w:sz w:val="28"/>
        </w:rPr>
        <w:t xml:space="preserve"> Academic Year</w:t>
      </w:r>
    </w:p>
    <w:p w14:paraId="265E573D" w14:textId="77777777" w:rsidR="00F62CAB" w:rsidRDefault="00F62CAB" w:rsidP="00330E09">
      <w:pPr>
        <w:ind w:right="12"/>
        <w:jc w:val="center"/>
        <w:rPr>
          <w:rFonts w:asciiTheme="minorHAnsi" w:hAnsiTheme="minorHAnsi"/>
          <w:b/>
          <w:sz w:val="24"/>
        </w:rPr>
      </w:pPr>
    </w:p>
    <w:p w14:paraId="0C458752" w14:textId="77777777" w:rsidR="00330E09" w:rsidRPr="00282BFE" w:rsidRDefault="00330E09" w:rsidP="00330E09">
      <w:pPr>
        <w:ind w:right="12"/>
        <w:jc w:val="center"/>
        <w:rPr>
          <w:rFonts w:asciiTheme="minorHAnsi" w:hAnsiTheme="minorHAnsi"/>
          <w:b/>
          <w:sz w:val="24"/>
        </w:rPr>
      </w:pPr>
      <w:r w:rsidRPr="00282BFE">
        <w:rPr>
          <w:rFonts w:asciiTheme="minorHAnsi" w:hAnsiTheme="minorHAnsi"/>
          <w:b/>
          <w:sz w:val="24"/>
        </w:rPr>
        <w:t>Per Term</w:t>
      </w:r>
    </w:p>
    <w:p w14:paraId="62650531" w14:textId="77777777" w:rsidR="007B5CEF" w:rsidRPr="00282BFE" w:rsidRDefault="007B5CEF" w:rsidP="00330E09">
      <w:pPr>
        <w:ind w:right="12"/>
        <w:jc w:val="center"/>
        <w:rPr>
          <w:rFonts w:asciiTheme="minorHAnsi" w:hAnsiTheme="minorHAnsi"/>
          <w:b/>
          <w:sz w:val="24"/>
        </w:rPr>
      </w:pPr>
    </w:p>
    <w:p w14:paraId="58850FAD" w14:textId="77777777" w:rsidR="00DE1B71" w:rsidRPr="00282BFE" w:rsidRDefault="00DE1B71" w:rsidP="00F62CAB">
      <w:pPr>
        <w:pStyle w:val="Heading3"/>
        <w:jc w:val="left"/>
        <w:rPr>
          <w:rFonts w:asciiTheme="minorHAnsi" w:hAnsiTheme="minorHAnsi"/>
          <w:szCs w:val="24"/>
        </w:rPr>
      </w:pPr>
      <w:bookmarkStart w:id="111" w:name="_Toc322438397"/>
      <w:bookmarkStart w:id="112" w:name="_Toc421521617"/>
      <w:r w:rsidRPr="00F62CAB">
        <w:rPr>
          <w:i/>
          <w:sz w:val="24"/>
        </w:rPr>
        <w:t>Paramedic Education</w:t>
      </w:r>
      <w:r w:rsidR="002A0AD3" w:rsidRPr="00F62CAB">
        <w:rPr>
          <w:i/>
          <w:sz w:val="24"/>
        </w:rPr>
        <w:t>–</w:t>
      </w:r>
      <w:r w:rsidRPr="00F62CAB">
        <w:rPr>
          <w:i/>
          <w:sz w:val="24"/>
        </w:rPr>
        <w:t>OHSU</w:t>
      </w:r>
      <w:bookmarkEnd w:id="111"/>
      <w:bookmarkEnd w:id="112"/>
      <w:r w:rsidRPr="00282BFE">
        <w:rPr>
          <w:rFonts w:asciiTheme="minorHAnsi" w:hAnsiTheme="minorHAnsi"/>
          <w:szCs w:val="24"/>
        </w:rPr>
        <w:t xml:space="preserve"> </w:t>
      </w:r>
    </w:p>
    <w:p w14:paraId="03B748C0" w14:textId="77777777" w:rsidR="00C50304" w:rsidRPr="00282BFE" w:rsidRDefault="00C50304" w:rsidP="007B5CEF">
      <w:pPr>
        <w:rPr>
          <w:rFonts w:asciiTheme="minorHAnsi" w:hAnsiTheme="minorHAnsi"/>
          <w:sz w:val="24"/>
        </w:rPr>
      </w:pPr>
    </w:p>
    <w:p w14:paraId="296EAC9E" w14:textId="3DC7E952" w:rsidR="002B0F3D" w:rsidRDefault="003F16BB" w:rsidP="002B0F3D">
      <w:pPr>
        <w:ind w:right="12"/>
        <w:jc w:val="center"/>
        <w:rPr>
          <w:rFonts w:asciiTheme="minorHAnsi" w:hAnsiTheme="minorHAnsi"/>
          <w:sz w:val="24"/>
        </w:rPr>
      </w:pPr>
      <w:r>
        <w:rPr>
          <w:noProof/>
        </w:rPr>
        <w:drawing>
          <wp:inline distT="0" distB="0" distL="0" distR="0" wp14:anchorId="394EB659" wp14:editId="73575181">
            <wp:extent cx="7022592" cy="5760720"/>
            <wp:effectExtent l="0" t="0" r="698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EMS Table.JPG"/>
                    <pic:cNvPicPr/>
                  </pic:nvPicPr>
                  <pic:blipFill>
                    <a:blip r:embed="rId17">
                      <a:extLst>
                        <a:ext uri="{28A0092B-C50C-407E-A947-70E740481C1C}">
                          <a14:useLocalDpi xmlns:a14="http://schemas.microsoft.com/office/drawing/2010/main" val="0"/>
                        </a:ext>
                      </a:extLst>
                    </a:blip>
                    <a:stretch>
                      <a:fillRect/>
                    </a:stretch>
                  </pic:blipFill>
                  <pic:spPr>
                    <a:xfrm>
                      <a:off x="0" y="0"/>
                      <a:ext cx="7022592" cy="5760720"/>
                    </a:xfrm>
                    <a:prstGeom prst="rect">
                      <a:avLst/>
                    </a:prstGeom>
                  </pic:spPr>
                </pic:pic>
              </a:graphicData>
            </a:graphic>
          </wp:inline>
        </w:drawing>
      </w:r>
      <w:r w:rsidR="00E76E86" w:rsidRPr="00E76E86">
        <w:t xml:space="preserve"> </w:t>
      </w:r>
      <w:r w:rsidR="009D6E84" w:rsidRPr="00282BFE">
        <w:rPr>
          <w:rFonts w:asciiTheme="minorHAnsi" w:hAnsiTheme="minorHAnsi"/>
          <w:sz w:val="24"/>
        </w:rPr>
        <w:br w:type="page"/>
      </w:r>
    </w:p>
    <w:p w14:paraId="265CE643" w14:textId="3F5EFD6B" w:rsidR="006E54BE" w:rsidRPr="00282BFE" w:rsidRDefault="006E54BE" w:rsidP="00342495">
      <w:pPr>
        <w:rPr>
          <w:rFonts w:asciiTheme="minorHAnsi" w:hAnsiTheme="minorHAnsi"/>
          <w:b/>
          <w:sz w:val="24"/>
        </w:rPr>
      </w:pPr>
      <w:bookmarkStart w:id="113" w:name="OLE_LINK2"/>
      <w:bookmarkEnd w:id="9"/>
    </w:p>
    <w:p w14:paraId="54FA528F" w14:textId="61C6CB5A" w:rsidR="005855AC" w:rsidRPr="002C4F55" w:rsidRDefault="005855AC" w:rsidP="002B0F3D">
      <w:pPr>
        <w:pStyle w:val="Heading2"/>
        <w:shd w:val="clear" w:color="auto" w:fill="DBE5F1" w:themeFill="accent1" w:themeFillTint="33"/>
        <w:jc w:val="center"/>
        <w:rPr>
          <w:lang w:val="en-US"/>
        </w:rPr>
      </w:pPr>
      <w:bookmarkStart w:id="114" w:name="_Toc421521619"/>
      <w:bookmarkStart w:id="115" w:name="_Toc322438399"/>
      <w:bookmarkStart w:id="116" w:name="_Toc322440182"/>
      <w:bookmarkStart w:id="117" w:name="_Toc322440265"/>
      <w:bookmarkEnd w:id="113"/>
      <w:r w:rsidRPr="00AB21B1">
        <w:t>Oregon Tech</w:t>
      </w:r>
      <w:r w:rsidR="00AB21B1">
        <w:rPr>
          <w:rFonts w:ascii="Blue Highway" w:hAnsi="Blue Highway"/>
        </w:rPr>
        <w:t>—</w:t>
      </w:r>
      <w:r w:rsidRPr="00AB21B1">
        <w:t>Wilsonville</w:t>
      </w:r>
      <w:r w:rsidR="002C4F55">
        <w:rPr>
          <w:lang w:val="en-US"/>
        </w:rPr>
        <w:t xml:space="preserve"> – </w:t>
      </w:r>
      <w:r w:rsidR="00E6138E">
        <w:rPr>
          <w:lang w:val="en-US"/>
        </w:rPr>
        <w:t>201</w:t>
      </w:r>
      <w:r w:rsidR="00F02B93">
        <w:rPr>
          <w:lang w:val="en-US"/>
        </w:rPr>
        <w:t>7</w:t>
      </w:r>
      <w:r w:rsidR="00E6138E">
        <w:rPr>
          <w:lang w:val="en-US"/>
        </w:rPr>
        <w:t>-1</w:t>
      </w:r>
      <w:r w:rsidR="00F02B93">
        <w:rPr>
          <w:lang w:val="en-US"/>
        </w:rPr>
        <w:t>8</w:t>
      </w:r>
      <w:r w:rsidR="002C4F55">
        <w:rPr>
          <w:lang w:val="en-US"/>
        </w:rPr>
        <w:t xml:space="preserve"> Academic Year</w:t>
      </w:r>
      <w:bookmarkEnd w:id="114"/>
    </w:p>
    <w:p w14:paraId="223E16F6" w14:textId="77777777" w:rsidR="005855AC" w:rsidRPr="00AB21B1" w:rsidRDefault="005855AC" w:rsidP="00AB21B1">
      <w:pPr>
        <w:pStyle w:val="Heading3"/>
      </w:pPr>
      <w:bookmarkStart w:id="118" w:name="_Toc421521620"/>
      <w:r w:rsidRPr="00AB21B1">
        <w:t>Base Tuition</w:t>
      </w:r>
      <w:bookmarkEnd w:id="118"/>
      <w:r w:rsidRPr="00AB21B1">
        <w:t xml:space="preserve"> </w:t>
      </w:r>
    </w:p>
    <w:p w14:paraId="43039B22" w14:textId="77777777" w:rsidR="005855AC" w:rsidRPr="00282BFE" w:rsidRDefault="005855AC" w:rsidP="005855AC">
      <w:pPr>
        <w:ind w:right="12"/>
        <w:jc w:val="center"/>
        <w:rPr>
          <w:rFonts w:asciiTheme="minorHAnsi" w:hAnsiTheme="minorHAnsi"/>
          <w:b/>
          <w:sz w:val="24"/>
        </w:rPr>
      </w:pPr>
      <w:r w:rsidRPr="00282BFE">
        <w:rPr>
          <w:rFonts w:asciiTheme="minorHAnsi" w:hAnsiTheme="minorHAnsi"/>
          <w:b/>
          <w:sz w:val="24"/>
        </w:rPr>
        <w:t>Per Term</w:t>
      </w:r>
    </w:p>
    <w:p w14:paraId="7C6330EE" w14:textId="77777777" w:rsidR="005855AC" w:rsidRPr="00282BFE" w:rsidRDefault="005855AC" w:rsidP="005855AC">
      <w:pPr>
        <w:ind w:right="12"/>
        <w:jc w:val="center"/>
        <w:rPr>
          <w:rFonts w:asciiTheme="minorHAnsi" w:hAnsiTheme="minorHAnsi"/>
          <w:b/>
          <w:color w:val="FF0000"/>
          <w:sz w:val="24"/>
        </w:rPr>
      </w:pPr>
    </w:p>
    <w:p w14:paraId="0459028A" w14:textId="77777777" w:rsidR="005855AC" w:rsidRDefault="005855AC" w:rsidP="00997081">
      <w:pPr>
        <w:ind w:right="12"/>
        <w:jc w:val="both"/>
        <w:rPr>
          <w:rFonts w:asciiTheme="minorHAnsi" w:hAnsiTheme="minorHAnsi"/>
          <w:i/>
          <w:sz w:val="24"/>
        </w:rPr>
      </w:pPr>
      <w:r w:rsidRPr="00282BFE">
        <w:rPr>
          <w:rFonts w:asciiTheme="minorHAnsi" w:hAnsiTheme="minorHAnsi"/>
          <w:i/>
          <w:sz w:val="24"/>
        </w:rPr>
        <w:t>Data in this table represents Tuition Costs only and does not include Mandatory Fees.</w:t>
      </w:r>
      <w:r w:rsidR="004C2D0B" w:rsidRPr="00282BFE">
        <w:rPr>
          <w:rFonts w:asciiTheme="minorHAnsi" w:hAnsiTheme="minorHAnsi"/>
          <w:i/>
          <w:sz w:val="24"/>
        </w:rPr>
        <w:t xml:space="preserve"> </w:t>
      </w:r>
      <w:r w:rsidRPr="00282BFE">
        <w:rPr>
          <w:rFonts w:asciiTheme="minorHAnsi" w:hAnsiTheme="minorHAnsi"/>
          <w:i/>
          <w:sz w:val="24"/>
        </w:rPr>
        <w:t>The Mandatory Fee information can be found in the Mandatory Fee Tables for this institution.</w:t>
      </w:r>
      <w:r w:rsidR="004C2D0B" w:rsidRPr="00282BFE">
        <w:rPr>
          <w:rFonts w:asciiTheme="minorHAnsi" w:hAnsiTheme="minorHAnsi"/>
          <w:i/>
          <w:sz w:val="24"/>
        </w:rPr>
        <w:t xml:space="preserve"> </w:t>
      </w:r>
    </w:p>
    <w:p w14:paraId="65C32725" w14:textId="77777777" w:rsidR="003F5D16" w:rsidRPr="00282BFE" w:rsidRDefault="003F5D16" w:rsidP="00997081">
      <w:pPr>
        <w:ind w:right="12"/>
        <w:jc w:val="both"/>
        <w:rPr>
          <w:rFonts w:asciiTheme="minorHAnsi" w:hAnsiTheme="minorHAnsi"/>
          <w:i/>
          <w:sz w:val="24"/>
        </w:rPr>
      </w:pPr>
    </w:p>
    <w:p w14:paraId="0AC1AD6E" w14:textId="77777777" w:rsidR="005855AC" w:rsidRPr="00282BFE" w:rsidRDefault="005855AC" w:rsidP="005855AC">
      <w:pPr>
        <w:ind w:right="12"/>
        <w:jc w:val="center"/>
        <w:rPr>
          <w:rFonts w:asciiTheme="minorHAnsi" w:hAnsiTheme="minorHAnsi"/>
          <w:i/>
          <w:sz w:val="24"/>
        </w:rPr>
      </w:pPr>
    </w:p>
    <w:p w14:paraId="43271985" w14:textId="51F2F510" w:rsidR="002B0F3D" w:rsidRDefault="00EF213F" w:rsidP="002B0F3D">
      <w:pPr>
        <w:ind w:right="12"/>
        <w:jc w:val="center"/>
        <w:rPr>
          <w:rFonts w:asciiTheme="minorHAnsi" w:hAnsiTheme="minorHAnsi"/>
          <w:sz w:val="24"/>
        </w:rPr>
      </w:pPr>
      <w:r>
        <w:rPr>
          <w:rFonts w:asciiTheme="minorHAnsi" w:hAnsiTheme="minorHAnsi"/>
          <w:noProof/>
          <w:sz w:val="24"/>
        </w:rPr>
        <w:drawing>
          <wp:inline distT="0" distB="0" distL="0" distR="0" wp14:anchorId="70B058ED" wp14:editId="6143711D">
            <wp:extent cx="4553712" cy="562356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Base Tuition.JPG"/>
                    <pic:cNvPicPr/>
                  </pic:nvPicPr>
                  <pic:blipFill>
                    <a:blip r:embed="rId12">
                      <a:extLst>
                        <a:ext uri="{28A0092B-C50C-407E-A947-70E740481C1C}">
                          <a14:useLocalDpi xmlns:a14="http://schemas.microsoft.com/office/drawing/2010/main" val="0"/>
                        </a:ext>
                      </a:extLst>
                    </a:blip>
                    <a:stretch>
                      <a:fillRect/>
                    </a:stretch>
                  </pic:blipFill>
                  <pic:spPr>
                    <a:xfrm>
                      <a:off x="0" y="0"/>
                      <a:ext cx="4553712" cy="5623560"/>
                    </a:xfrm>
                    <a:prstGeom prst="rect">
                      <a:avLst/>
                    </a:prstGeom>
                  </pic:spPr>
                </pic:pic>
              </a:graphicData>
            </a:graphic>
          </wp:inline>
        </w:drawing>
      </w:r>
      <w:r w:rsidR="005855AC" w:rsidRPr="00282BFE">
        <w:rPr>
          <w:rFonts w:asciiTheme="minorHAnsi" w:hAnsiTheme="minorHAnsi"/>
          <w:sz w:val="24"/>
        </w:rPr>
        <w:br w:type="page"/>
      </w:r>
    </w:p>
    <w:p w14:paraId="4E0AE4DF" w14:textId="5ACF95EA" w:rsidR="005855AC" w:rsidRPr="002A0AD3" w:rsidRDefault="005855AC" w:rsidP="002B0F3D">
      <w:pPr>
        <w:shd w:val="clear" w:color="auto" w:fill="DBE5F1" w:themeFill="accent1" w:themeFillTint="33"/>
        <w:ind w:right="12"/>
        <w:jc w:val="center"/>
        <w:rPr>
          <w:rFonts w:asciiTheme="minorHAnsi" w:hAnsiTheme="minorHAnsi"/>
          <w:b/>
          <w:sz w:val="28"/>
        </w:rPr>
      </w:pPr>
      <w:r w:rsidRPr="002A0AD3">
        <w:rPr>
          <w:rFonts w:asciiTheme="minorHAnsi" w:hAnsiTheme="minorHAnsi"/>
          <w:b/>
          <w:sz w:val="28"/>
        </w:rPr>
        <w:lastRenderedPageBreak/>
        <w:t>Oregon Tech</w:t>
      </w:r>
      <w:r w:rsidR="00AB21B1" w:rsidRPr="002A0AD3">
        <w:rPr>
          <w:rFonts w:ascii="Blue Highway" w:hAnsi="Blue Highway"/>
          <w:b/>
          <w:sz w:val="28"/>
        </w:rPr>
        <w:t>—</w:t>
      </w:r>
      <w:r w:rsidRPr="002A0AD3">
        <w:rPr>
          <w:rFonts w:asciiTheme="minorHAnsi" w:hAnsiTheme="minorHAnsi"/>
          <w:b/>
          <w:sz w:val="28"/>
        </w:rPr>
        <w:t>Wilsonville</w:t>
      </w:r>
      <w:r w:rsidR="002C4F55">
        <w:rPr>
          <w:rFonts w:asciiTheme="minorHAnsi" w:hAnsiTheme="minorHAnsi"/>
          <w:b/>
          <w:sz w:val="28"/>
        </w:rPr>
        <w:t xml:space="preserve"> – </w:t>
      </w:r>
      <w:r w:rsidR="00E6138E">
        <w:rPr>
          <w:rFonts w:asciiTheme="minorHAnsi" w:hAnsiTheme="minorHAnsi"/>
          <w:b/>
          <w:sz w:val="28"/>
        </w:rPr>
        <w:t>201</w:t>
      </w:r>
      <w:r w:rsidR="00A37005">
        <w:rPr>
          <w:rFonts w:asciiTheme="minorHAnsi" w:hAnsiTheme="minorHAnsi"/>
          <w:b/>
          <w:sz w:val="28"/>
        </w:rPr>
        <w:t>7</w:t>
      </w:r>
      <w:r w:rsidR="00E6138E">
        <w:rPr>
          <w:rFonts w:asciiTheme="minorHAnsi" w:hAnsiTheme="minorHAnsi"/>
          <w:b/>
          <w:sz w:val="28"/>
        </w:rPr>
        <w:t>-1</w:t>
      </w:r>
      <w:r w:rsidR="00A37005">
        <w:rPr>
          <w:rFonts w:asciiTheme="minorHAnsi" w:hAnsiTheme="minorHAnsi"/>
          <w:b/>
          <w:sz w:val="28"/>
        </w:rPr>
        <w:t>8</w:t>
      </w:r>
      <w:r w:rsidR="002C4F55">
        <w:rPr>
          <w:rFonts w:asciiTheme="minorHAnsi" w:hAnsiTheme="minorHAnsi"/>
          <w:b/>
          <w:sz w:val="28"/>
        </w:rPr>
        <w:t xml:space="preserve"> Academic Year</w:t>
      </w:r>
    </w:p>
    <w:p w14:paraId="12FB2BE3" w14:textId="77777777" w:rsidR="005855AC" w:rsidRPr="00AB21B1" w:rsidRDefault="005855AC" w:rsidP="00AB21B1">
      <w:pPr>
        <w:pStyle w:val="Heading3"/>
      </w:pPr>
      <w:bookmarkStart w:id="119" w:name="_Toc421521621"/>
      <w:r w:rsidRPr="00AB21B1">
        <w:t>Mandatory Fees</w:t>
      </w:r>
      <w:bookmarkEnd w:id="119"/>
    </w:p>
    <w:p w14:paraId="48CF5405" w14:textId="77777777" w:rsidR="005855AC" w:rsidRPr="00282BFE" w:rsidRDefault="005855AC" w:rsidP="005855AC">
      <w:pPr>
        <w:ind w:right="12"/>
        <w:jc w:val="center"/>
        <w:rPr>
          <w:rFonts w:asciiTheme="minorHAnsi" w:hAnsiTheme="minorHAnsi"/>
          <w:b/>
          <w:sz w:val="24"/>
        </w:rPr>
      </w:pPr>
      <w:r w:rsidRPr="00282BFE">
        <w:rPr>
          <w:rFonts w:asciiTheme="minorHAnsi" w:hAnsiTheme="minorHAnsi"/>
          <w:b/>
          <w:sz w:val="24"/>
        </w:rPr>
        <w:t>Per Term</w:t>
      </w:r>
    </w:p>
    <w:p w14:paraId="54D71244" w14:textId="77777777" w:rsidR="005855AC" w:rsidRPr="00282BFE" w:rsidRDefault="005855AC" w:rsidP="005855AC">
      <w:pPr>
        <w:ind w:right="12"/>
        <w:jc w:val="center"/>
        <w:rPr>
          <w:rFonts w:asciiTheme="minorHAnsi" w:hAnsiTheme="minorHAnsi"/>
          <w:b/>
          <w:sz w:val="24"/>
        </w:rPr>
      </w:pPr>
    </w:p>
    <w:p w14:paraId="59E49B5C" w14:textId="77777777" w:rsidR="005855AC" w:rsidRPr="00282BFE" w:rsidRDefault="005855AC" w:rsidP="00997081">
      <w:pPr>
        <w:ind w:right="12"/>
        <w:jc w:val="both"/>
        <w:rPr>
          <w:rFonts w:asciiTheme="minorHAnsi" w:hAnsiTheme="minorHAnsi"/>
          <w:i/>
          <w:sz w:val="24"/>
        </w:rPr>
      </w:pPr>
      <w:r w:rsidRPr="00282BFE">
        <w:rPr>
          <w:rFonts w:asciiTheme="minorHAnsi" w:hAnsiTheme="minorHAnsi"/>
          <w:i/>
          <w:sz w:val="24"/>
        </w:rPr>
        <w:t xml:space="preserve">The mandatory fees included in the following schedule are applicable to all </w:t>
      </w:r>
      <w:r w:rsidR="00BF5D13">
        <w:rPr>
          <w:rFonts w:asciiTheme="minorHAnsi" w:hAnsiTheme="minorHAnsi"/>
          <w:i/>
          <w:sz w:val="24"/>
        </w:rPr>
        <w:t>Oregon Tech - Wilsonville</w:t>
      </w:r>
      <w:r w:rsidRPr="00282BFE">
        <w:rPr>
          <w:rFonts w:asciiTheme="minorHAnsi" w:hAnsiTheme="minorHAnsi"/>
          <w:i/>
          <w:sz w:val="24"/>
        </w:rPr>
        <w:t xml:space="preserve"> Campus students and should be added to the applicable tuition charges (based on class-level and total credits) to determine total tuition and fees. In addition, institutions may charge additional fees for specific courses (lab fees, etc.) and services (parking, </w:t>
      </w:r>
      <w:r w:rsidR="00BF5D13">
        <w:rPr>
          <w:rFonts w:asciiTheme="minorHAnsi" w:hAnsiTheme="minorHAnsi"/>
          <w:i/>
          <w:sz w:val="24"/>
        </w:rPr>
        <w:t xml:space="preserve">etc.)  </w:t>
      </w:r>
      <w:r w:rsidRPr="00282BFE">
        <w:rPr>
          <w:rFonts w:asciiTheme="minorHAnsi" w:hAnsiTheme="minorHAnsi"/>
          <w:i/>
          <w:sz w:val="24"/>
        </w:rPr>
        <w:t xml:space="preserve">Contact the campus directly for information regarding any additional fees. </w:t>
      </w:r>
    </w:p>
    <w:p w14:paraId="3228FE67" w14:textId="77777777" w:rsidR="005855AC" w:rsidRPr="00282BFE" w:rsidRDefault="005855AC" w:rsidP="00997081">
      <w:pPr>
        <w:jc w:val="both"/>
        <w:rPr>
          <w:rFonts w:asciiTheme="minorHAnsi" w:hAnsiTheme="minorHAnsi"/>
          <w:sz w:val="24"/>
        </w:rPr>
      </w:pPr>
    </w:p>
    <w:p w14:paraId="69B4710F" w14:textId="77777777" w:rsidR="005855AC" w:rsidRPr="00282BFE" w:rsidRDefault="005855AC" w:rsidP="005855AC">
      <w:pPr>
        <w:ind w:right="12"/>
        <w:jc w:val="center"/>
        <w:rPr>
          <w:rFonts w:asciiTheme="minorHAnsi" w:hAnsiTheme="minorHAnsi"/>
          <w:b/>
          <w:sz w:val="24"/>
        </w:rPr>
      </w:pPr>
    </w:p>
    <w:p w14:paraId="4A623CC4" w14:textId="77777777" w:rsidR="00846B0D" w:rsidRDefault="00846B0D" w:rsidP="002B0F3D">
      <w:pPr>
        <w:ind w:right="12"/>
        <w:jc w:val="center"/>
      </w:pPr>
    </w:p>
    <w:p w14:paraId="35C20FC2" w14:textId="2089CD34" w:rsidR="00846B0D" w:rsidRDefault="00EF213F" w:rsidP="00EF213F">
      <w:pPr>
        <w:ind w:right="12"/>
        <w:rPr>
          <w:rFonts w:asciiTheme="minorHAnsi" w:hAnsiTheme="minorHAnsi"/>
          <w:sz w:val="24"/>
        </w:rPr>
      </w:pPr>
      <w:r>
        <w:rPr>
          <w:rFonts w:asciiTheme="minorHAnsi" w:hAnsiTheme="minorHAnsi"/>
          <w:noProof/>
          <w:sz w:val="24"/>
        </w:rPr>
        <w:drawing>
          <wp:inline distT="0" distB="0" distL="0" distR="0" wp14:anchorId="6191F784" wp14:editId="2FDD8BA8">
            <wp:extent cx="6976872" cy="3995928"/>
            <wp:effectExtent l="0" t="0" r="0" b="508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Mandatory Fees WLV.JPG"/>
                    <pic:cNvPicPr/>
                  </pic:nvPicPr>
                  <pic:blipFill>
                    <a:blip r:embed="rId18">
                      <a:extLst>
                        <a:ext uri="{28A0092B-C50C-407E-A947-70E740481C1C}">
                          <a14:useLocalDpi xmlns:a14="http://schemas.microsoft.com/office/drawing/2010/main" val="0"/>
                        </a:ext>
                      </a:extLst>
                    </a:blip>
                    <a:stretch>
                      <a:fillRect/>
                    </a:stretch>
                  </pic:blipFill>
                  <pic:spPr>
                    <a:xfrm>
                      <a:off x="0" y="0"/>
                      <a:ext cx="6976872" cy="3995928"/>
                    </a:xfrm>
                    <a:prstGeom prst="rect">
                      <a:avLst/>
                    </a:prstGeom>
                  </pic:spPr>
                </pic:pic>
              </a:graphicData>
            </a:graphic>
          </wp:inline>
        </w:drawing>
      </w:r>
    </w:p>
    <w:p w14:paraId="70E3562C" w14:textId="77777777" w:rsidR="00846B0D" w:rsidRDefault="00846B0D" w:rsidP="002B0F3D">
      <w:pPr>
        <w:ind w:right="12"/>
        <w:jc w:val="center"/>
        <w:rPr>
          <w:rFonts w:asciiTheme="minorHAnsi" w:hAnsiTheme="minorHAnsi"/>
          <w:sz w:val="24"/>
        </w:rPr>
      </w:pPr>
    </w:p>
    <w:p w14:paraId="5C6DC7E0" w14:textId="77777777" w:rsidR="00846B0D" w:rsidRDefault="00846B0D">
      <w:pPr>
        <w:rPr>
          <w:rFonts w:asciiTheme="minorHAnsi" w:hAnsiTheme="minorHAnsi"/>
          <w:sz w:val="24"/>
        </w:rPr>
      </w:pPr>
      <w:r>
        <w:rPr>
          <w:rFonts w:asciiTheme="minorHAnsi" w:hAnsiTheme="minorHAnsi"/>
          <w:sz w:val="24"/>
        </w:rPr>
        <w:br w:type="page"/>
      </w:r>
    </w:p>
    <w:p w14:paraId="7A99B9CF" w14:textId="529EA65F" w:rsidR="00846B0D" w:rsidRPr="002A0AD3" w:rsidRDefault="00846B0D" w:rsidP="00846B0D">
      <w:pPr>
        <w:shd w:val="clear" w:color="auto" w:fill="DBE5F1" w:themeFill="accent1" w:themeFillTint="33"/>
        <w:ind w:right="12"/>
        <w:jc w:val="center"/>
        <w:rPr>
          <w:rFonts w:asciiTheme="minorHAnsi" w:hAnsiTheme="minorHAnsi"/>
          <w:sz w:val="28"/>
        </w:rPr>
      </w:pPr>
      <w:r w:rsidRPr="002A0AD3">
        <w:rPr>
          <w:rFonts w:asciiTheme="minorHAnsi" w:hAnsiTheme="minorHAnsi"/>
          <w:b/>
          <w:sz w:val="28"/>
        </w:rPr>
        <w:lastRenderedPageBreak/>
        <w:t>Oregon Tech</w:t>
      </w:r>
      <w:r w:rsidRPr="002A0AD3">
        <w:rPr>
          <w:rFonts w:ascii="Blue Highway" w:hAnsi="Blue Highway"/>
          <w:b/>
          <w:sz w:val="28"/>
        </w:rPr>
        <w:t>—</w:t>
      </w:r>
      <w:r w:rsidRPr="002A0AD3">
        <w:rPr>
          <w:rFonts w:asciiTheme="minorHAnsi" w:hAnsiTheme="minorHAnsi"/>
          <w:b/>
          <w:sz w:val="28"/>
        </w:rPr>
        <w:t>Wilsonville</w:t>
      </w:r>
      <w:r>
        <w:rPr>
          <w:rFonts w:asciiTheme="minorHAnsi" w:hAnsiTheme="minorHAnsi"/>
          <w:b/>
          <w:sz w:val="28"/>
        </w:rPr>
        <w:t xml:space="preserve"> – 201</w:t>
      </w:r>
      <w:r w:rsidR="00A37005">
        <w:rPr>
          <w:rFonts w:asciiTheme="minorHAnsi" w:hAnsiTheme="minorHAnsi"/>
          <w:b/>
          <w:sz w:val="28"/>
        </w:rPr>
        <w:t>7</w:t>
      </w:r>
      <w:r>
        <w:rPr>
          <w:rFonts w:asciiTheme="minorHAnsi" w:hAnsiTheme="minorHAnsi"/>
          <w:b/>
          <w:sz w:val="28"/>
        </w:rPr>
        <w:t>-1</w:t>
      </w:r>
      <w:r w:rsidR="00A37005">
        <w:rPr>
          <w:rFonts w:asciiTheme="minorHAnsi" w:hAnsiTheme="minorHAnsi"/>
          <w:b/>
          <w:sz w:val="28"/>
        </w:rPr>
        <w:t>8</w:t>
      </w:r>
      <w:r>
        <w:rPr>
          <w:rFonts w:asciiTheme="minorHAnsi" w:hAnsiTheme="minorHAnsi"/>
          <w:b/>
          <w:sz w:val="28"/>
        </w:rPr>
        <w:t xml:space="preserve"> Academic Year</w:t>
      </w:r>
    </w:p>
    <w:p w14:paraId="767A2771" w14:textId="77777777" w:rsidR="00846B0D" w:rsidRPr="00AB21B1" w:rsidRDefault="00846B0D" w:rsidP="00846B0D">
      <w:pPr>
        <w:pStyle w:val="Heading3"/>
      </w:pPr>
      <w:r w:rsidRPr="00AB21B1">
        <w:t>Differential Programs—Undergraduate</w:t>
      </w:r>
    </w:p>
    <w:p w14:paraId="474813F6" w14:textId="77777777" w:rsidR="00846B0D" w:rsidRPr="00282BFE" w:rsidRDefault="00846B0D" w:rsidP="00846B0D">
      <w:pPr>
        <w:ind w:right="12"/>
        <w:jc w:val="center"/>
        <w:rPr>
          <w:rFonts w:asciiTheme="minorHAnsi" w:hAnsiTheme="minorHAnsi"/>
          <w:b/>
          <w:sz w:val="24"/>
        </w:rPr>
      </w:pPr>
      <w:r w:rsidRPr="00282BFE">
        <w:rPr>
          <w:rFonts w:asciiTheme="minorHAnsi" w:hAnsiTheme="minorHAnsi"/>
          <w:b/>
          <w:sz w:val="24"/>
        </w:rPr>
        <w:t>Per Term</w:t>
      </w:r>
    </w:p>
    <w:p w14:paraId="33328C39" w14:textId="77777777" w:rsidR="00846B0D" w:rsidRPr="00282BFE" w:rsidRDefault="00846B0D" w:rsidP="00846B0D">
      <w:pPr>
        <w:ind w:right="12"/>
        <w:jc w:val="center"/>
        <w:rPr>
          <w:rFonts w:asciiTheme="minorHAnsi" w:hAnsiTheme="minorHAnsi"/>
          <w:b/>
          <w:color w:val="FF0000"/>
          <w:sz w:val="24"/>
        </w:rPr>
      </w:pPr>
    </w:p>
    <w:p w14:paraId="353A47F7" w14:textId="77777777" w:rsidR="00846B0D" w:rsidRDefault="00846B0D" w:rsidP="00846B0D">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17E79FBB" w14:textId="77777777" w:rsidR="00846B0D" w:rsidRPr="00282BFE" w:rsidRDefault="00846B0D" w:rsidP="00846B0D">
      <w:pPr>
        <w:ind w:right="12"/>
        <w:jc w:val="both"/>
        <w:rPr>
          <w:rFonts w:asciiTheme="minorHAnsi" w:hAnsiTheme="minorHAnsi"/>
          <w:i/>
          <w:sz w:val="24"/>
        </w:rPr>
      </w:pPr>
    </w:p>
    <w:p w14:paraId="2BE789F9" w14:textId="77777777" w:rsidR="00846B0D" w:rsidRDefault="00846B0D" w:rsidP="00846B0D">
      <w:pPr>
        <w:rPr>
          <w:rFonts w:asciiTheme="minorHAnsi" w:hAnsiTheme="minorHAnsi"/>
          <w:b/>
          <w:i/>
          <w:sz w:val="24"/>
        </w:rPr>
      </w:pPr>
      <w:r>
        <w:rPr>
          <w:rFonts w:asciiTheme="minorHAnsi" w:hAnsiTheme="minorHAnsi"/>
          <w:b/>
          <w:i/>
          <w:sz w:val="24"/>
        </w:rPr>
        <w:t>Allied Health</w:t>
      </w:r>
    </w:p>
    <w:p w14:paraId="6CA4E268" w14:textId="77777777" w:rsidR="00846B0D" w:rsidRDefault="00846B0D" w:rsidP="00846B0D">
      <w:pPr>
        <w:rPr>
          <w:rFonts w:asciiTheme="minorHAnsi" w:hAnsiTheme="minorHAnsi"/>
          <w:b/>
          <w:i/>
          <w:sz w:val="24"/>
        </w:rPr>
      </w:pPr>
    </w:p>
    <w:p w14:paraId="0C8E9E87" w14:textId="77777777" w:rsidR="00846B0D" w:rsidRPr="001242C7" w:rsidRDefault="00846B0D" w:rsidP="00846B0D">
      <w:pPr>
        <w:jc w:val="center"/>
        <w:rPr>
          <w:rFonts w:asciiTheme="minorHAnsi" w:hAnsiTheme="minorHAnsi"/>
          <w:b/>
          <w:i/>
          <w:sz w:val="24"/>
        </w:rPr>
      </w:pPr>
    </w:p>
    <w:p w14:paraId="56646680" w14:textId="0B9D13AC" w:rsidR="00846B0D" w:rsidRDefault="00B232A0" w:rsidP="002B0F3D">
      <w:pPr>
        <w:ind w:right="12"/>
        <w:jc w:val="center"/>
        <w:rPr>
          <w:rFonts w:asciiTheme="minorHAnsi" w:hAnsiTheme="minorHAnsi"/>
          <w:sz w:val="24"/>
        </w:rPr>
      </w:pPr>
      <w:r>
        <w:rPr>
          <w:rFonts w:asciiTheme="minorHAnsi" w:hAnsiTheme="minorHAnsi"/>
          <w:noProof/>
          <w:sz w:val="24"/>
        </w:rPr>
        <w:drawing>
          <wp:inline distT="0" distB="0" distL="0" distR="0" wp14:anchorId="240854AD" wp14:editId="6BF5EF39">
            <wp:extent cx="2619375" cy="5934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ied Health WLV.JPG"/>
                    <pic:cNvPicPr/>
                  </pic:nvPicPr>
                  <pic:blipFill>
                    <a:blip r:embed="rId19">
                      <a:extLst>
                        <a:ext uri="{28A0092B-C50C-407E-A947-70E740481C1C}">
                          <a14:useLocalDpi xmlns:a14="http://schemas.microsoft.com/office/drawing/2010/main" val="0"/>
                        </a:ext>
                      </a:extLst>
                    </a:blip>
                    <a:stretch>
                      <a:fillRect/>
                    </a:stretch>
                  </pic:blipFill>
                  <pic:spPr>
                    <a:xfrm>
                      <a:off x="0" y="0"/>
                      <a:ext cx="2619375" cy="5934075"/>
                    </a:xfrm>
                    <a:prstGeom prst="rect">
                      <a:avLst/>
                    </a:prstGeom>
                  </pic:spPr>
                </pic:pic>
              </a:graphicData>
            </a:graphic>
          </wp:inline>
        </w:drawing>
      </w:r>
    </w:p>
    <w:p w14:paraId="64BD24F3" w14:textId="77777777" w:rsidR="002B0F3D" w:rsidRDefault="005855AC" w:rsidP="002B0F3D">
      <w:pPr>
        <w:ind w:right="12"/>
        <w:jc w:val="center"/>
        <w:rPr>
          <w:rFonts w:asciiTheme="minorHAnsi" w:hAnsiTheme="minorHAnsi"/>
          <w:sz w:val="24"/>
        </w:rPr>
      </w:pPr>
      <w:r w:rsidRPr="00282BFE">
        <w:rPr>
          <w:rFonts w:asciiTheme="minorHAnsi" w:hAnsiTheme="minorHAnsi"/>
          <w:sz w:val="24"/>
        </w:rPr>
        <w:br w:type="page"/>
      </w:r>
    </w:p>
    <w:p w14:paraId="473F600F" w14:textId="54BDA690" w:rsidR="005855AC" w:rsidRPr="002A0AD3" w:rsidRDefault="005855AC" w:rsidP="002B0F3D">
      <w:pPr>
        <w:shd w:val="clear" w:color="auto" w:fill="DBE5F1" w:themeFill="accent1" w:themeFillTint="33"/>
        <w:ind w:right="12"/>
        <w:jc w:val="center"/>
        <w:rPr>
          <w:rFonts w:asciiTheme="minorHAnsi" w:hAnsiTheme="minorHAnsi"/>
          <w:sz w:val="28"/>
        </w:rPr>
      </w:pPr>
      <w:r w:rsidRPr="002A0AD3">
        <w:rPr>
          <w:rFonts w:asciiTheme="minorHAnsi" w:hAnsiTheme="minorHAnsi"/>
          <w:b/>
          <w:sz w:val="28"/>
        </w:rPr>
        <w:lastRenderedPageBreak/>
        <w:t>Oregon Tech</w:t>
      </w:r>
      <w:r w:rsidR="00AB21B1" w:rsidRPr="002A0AD3">
        <w:rPr>
          <w:rFonts w:ascii="Blue Highway" w:hAnsi="Blue Highway"/>
          <w:b/>
          <w:sz w:val="28"/>
        </w:rPr>
        <w:t>—</w:t>
      </w:r>
      <w:r w:rsidRPr="002A0AD3">
        <w:rPr>
          <w:rFonts w:asciiTheme="minorHAnsi" w:hAnsiTheme="minorHAnsi"/>
          <w:b/>
          <w:sz w:val="28"/>
        </w:rPr>
        <w:t>Wilsonville</w:t>
      </w:r>
      <w:r w:rsidR="002C4F55">
        <w:rPr>
          <w:rFonts w:asciiTheme="minorHAnsi" w:hAnsiTheme="minorHAnsi"/>
          <w:b/>
          <w:sz w:val="28"/>
        </w:rPr>
        <w:t xml:space="preserve"> – </w:t>
      </w:r>
      <w:r w:rsidR="00E6138E">
        <w:rPr>
          <w:rFonts w:asciiTheme="minorHAnsi" w:hAnsiTheme="minorHAnsi"/>
          <w:b/>
          <w:sz w:val="28"/>
        </w:rPr>
        <w:t>201</w:t>
      </w:r>
      <w:r w:rsidR="00A37005">
        <w:rPr>
          <w:rFonts w:asciiTheme="minorHAnsi" w:hAnsiTheme="minorHAnsi"/>
          <w:b/>
          <w:sz w:val="28"/>
        </w:rPr>
        <w:t>7</w:t>
      </w:r>
      <w:r w:rsidR="00E6138E">
        <w:rPr>
          <w:rFonts w:asciiTheme="minorHAnsi" w:hAnsiTheme="minorHAnsi"/>
          <w:b/>
          <w:sz w:val="28"/>
        </w:rPr>
        <w:t>-1</w:t>
      </w:r>
      <w:r w:rsidR="00A37005">
        <w:rPr>
          <w:rFonts w:asciiTheme="minorHAnsi" w:hAnsiTheme="minorHAnsi"/>
          <w:b/>
          <w:sz w:val="28"/>
        </w:rPr>
        <w:t>8</w:t>
      </w:r>
      <w:r w:rsidR="002C4F55">
        <w:rPr>
          <w:rFonts w:asciiTheme="minorHAnsi" w:hAnsiTheme="minorHAnsi"/>
          <w:b/>
          <w:sz w:val="28"/>
        </w:rPr>
        <w:t xml:space="preserve"> Academic Year</w:t>
      </w:r>
    </w:p>
    <w:p w14:paraId="6554FADC" w14:textId="77777777" w:rsidR="005855AC" w:rsidRPr="00AB21B1" w:rsidRDefault="005855AC" w:rsidP="00AB21B1">
      <w:pPr>
        <w:pStyle w:val="Heading3"/>
      </w:pPr>
      <w:bookmarkStart w:id="120" w:name="_Toc421521622"/>
      <w:r w:rsidRPr="00AB21B1">
        <w:t>Differential Programs</w:t>
      </w:r>
      <w:r w:rsidR="00AB21B1" w:rsidRPr="00AB21B1">
        <w:t>—</w:t>
      </w:r>
      <w:r w:rsidR="004C2D0B" w:rsidRPr="00AB21B1">
        <w:t>Undergraduate</w:t>
      </w:r>
      <w:bookmarkEnd w:id="120"/>
    </w:p>
    <w:p w14:paraId="0828BAD8" w14:textId="77777777" w:rsidR="005855AC" w:rsidRPr="00282BFE" w:rsidRDefault="005855AC" w:rsidP="005855AC">
      <w:pPr>
        <w:ind w:right="12"/>
        <w:jc w:val="center"/>
        <w:rPr>
          <w:rFonts w:asciiTheme="minorHAnsi" w:hAnsiTheme="minorHAnsi"/>
          <w:b/>
          <w:sz w:val="24"/>
        </w:rPr>
      </w:pPr>
      <w:r w:rsidRPr="00282BFE">
        <w:rPr>
          <w:rFonts w:asciiTheme="minorHAnsi" w:hAnsiTheme="minorHAnsi"/>
          <w:b/>
          <w:sz w:val="24"/>
        </w:rPr>
        <w:t>Per Term</w:t>
      </w:r>
    </w:p>
    <w:p w14:paraId="1D9499AF" w14:textId="77777777" w:rsidR="00557C1B" w:rsidRPr="00282BFE" w:rsidRDefault="00557C1B" w:rsidP="005855AC">
      <w:pPr>
        <w:ind w:right="12"/>
        <w:jc w:val="center"/>
        <w:rPr>
          <w:rFonts w:asciiTheme="minorHAnsi" w:hAnsiTheme="minorHAnsi"/>
          <w:b/>
          <w:color w:val="FF0000"/>
          <w:sz w:val="24"/>
        </w:rPr>
      </w:pPr>
    </w:p>
    <w:p w14:paraId="68D87E4D" w14:textId="77777777" w:rsidR="007815E7" w:rsidRDefault="005855AC" w:rsidP="00997081">
      <w:pPr>
        <w:ind w:right="12"/>
        <w:jc w:val="both"/>
        <w:rPr>
          <w:rFonts w:asciiTheme="minorHAnsi" w:hAnsiTheme="minorHAnsi"/>
          <w:i/>
          <w:sz w:val="24"/>
        </w:rPr>
      </w:pPr>
      <w:r w:rsidRPr="00282BFE">
        <w:rPr>
          <w:rFonts w:asciiTheme="minorHAnsi" w:hAnsiTheme="minorHAnsi"/>
          <w:i/>
          <w:sz w:val="24"/>
        </w:rPr>
        <w:t>Data in this table represents Tuition Costs only and does not include Mandatory Fees.</w:t>
      </w:r>
      <w:r w:rsidR="004C2D0B" w:rsidRPr="00282BFE">
        <w:rPr>
          <w:rFonts w:asciiTheme="minorHAnsi" w:hAnsiTheme="minorHAnsi"/>
          <w:i/>
          <w:sz w:val="24"/>
        </w:rPr>
        <w:t xml:space="preserve"> </w:t>
      </w:r>
      <w:r w:rsidRPr="00282BFE">
        <w:rPr>
          <w:rFonts w:asciiTheme="minorHAnsi" w:hAnsiTheme="minorHAnsi"/>
          <w:i/>
          <w:sz w:val="24"/>
        </w:rPr>
        <w:t>The Mandatory Fee information can be found in the Mandatory Fee Tables for this institution.</w:t>
      </w:r>
      <w:r w:rsidR="004C2D0B" w:rsidRPr="00282BFE">
        <w:rPr>
          <w:rFonts w:asciiTheme="minorHAnsi" w:hAnsiTheme="minorHAnsi"/>
          <w:i/>
          <w:sz w:val="24"/>
        </w:rPr>
        <w:t xml:space="preserve"> </w:t>
      </w:r>
    </w:p>
    <w:p w14:paraId="547244DC" w14:textId="77777777" w:rsidR="003F5D16" w:rsidRPr="00282BFE" w:rsidRDefault="003F5D16" w:rsidP="00997081">
      <w:pPr>
        <w:ind w:right="12"/>
        <w:jc w:val="both"/>
        <w:rPr>
          <w:rFonts w:asciiTheme="minorHAnsi" w:hAnsiTheme="minorHAnsi"/>
          <w:i/>
          <w:sz w:val="24"/>
        </w:rPr>
      </w:pPr>
    </w:p>
    <w:p w14:paraId="3EC8938C" w14:textId="77777777" w:rsidR="007815E7" w:rsidRPr="001242C7" w:rsidRDefault="007815E7" w:rsidP="001242C7">
      <w:pPr>
        <w:rPr>
          <w:rFonts w:asciiTheme="minorHAnsi" w:hAnsiTheme="minorHAnsi"/>
          <w:b/>
          <w:i/>
          <w:sz w:val="24"/>
        </w:rPr>
      </w:pPr>
      <w:r w:rsidRPr="001242C7">
        <w:rPr>
          <w:rFonts w:asciiTheme="minorHAnsi" w:hAnsiTheme="minorHAnsi"/>
          <w:b/>
          <w:i/>
          <w:sz w:val="24"/>
        </w:rPr>
        <w:t xml:space="preserve">Engineering &amp; Technology </w:t>
      </w:r>
    </w:p>
    <w:p w14:paraId="2FD143B8" w14:textId="77777777" w:rsidR="007815E7" w:rsidRPr="00282BFE" w:rsidRDefault="007815E7" w:rsidP="005855AC">
      <w:pPr>
        <w:ind w:right="12"/>
        <w:rPr>
          <w:rFonts w:asciiTheme="minorHAnsi" w:hAnsiTheme="minorHAnsi"/>
          <w:i/>
          <w:sz w:val="24"/>
        </w:rPr>
      </w:pPr>
    </w:p>
    <w:p w14:paraId="0A1FA5DD" w14:textId="35F57250" w:rsidR="005855AC" w:rsidRPr="00282BFE" w:rsidRDefault="00583147" w:rsidP="008E38DF">
      <w:pPr>
        <w:jc w:val="center"/>
        <w:rPr>
          <w:rFonts w:asciiTheme="minorHAnsi" w:hAnsiTheme="minorHAnsi"/>
          <w:b/>
          <w:sz w:val="24"/>
        </w:rPr>
      </w:pPr>
      <w:r>
        <w:rPr>
          <w:rFonts w:asciiTheme="minorHAnsi" w:hAnsiTheme="minorHAnsi"/>
          <w:b/>
          <w:noProof/>
          <w:sz w:val="24"/>
        </w:rPr>
        <w:drawing>
          <wp:inline distT="0" distB="0" distL="0" distR="0" wp14:anchorId="242F32F8" wp14:editId="1588C1CF">
            <wp:extent cx="2624328" cy="5925312"/>
            <wp:effectExtent l="0" t="0" r="508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ET WLV.JPG"/>
                    <pic:cNvPicPr/>
                  </pic:nvPicPr>
                  <pic:blipFill>
                    <a:blip r:embed="rId20">
                      <a:extLst>
                        <a:ext uri="{28A0092B-C50C-407E-A947-70E740481C1C}">
                          <a14:useLocalDpi xmlns:a14="http://schemas.microsoft.com/office/drawing/2010/main" val="0"/>
                        </a:ext>
                      </a:extLst>
                    </a:blip>
                    <a:stretch>
                      <a:fillRect/>
                    </a:stretch>
                  </pic:blipFill>
                  <pic:spPr>
                    <a:xfrm>
                      <a:off x="0" y="0"/>
                      <a:ext cx="2624328" cy="5925312"/>
                    </a:xfrm>
                    <a:prstGeom prst="rect">
                      <a:avLst/>
                    </a:prstGeom>
                  </pic:spPr>
                </pic:pic>
              </a:graphicData>
            </a:graphic>
          </wp:inline>
        </w:drawing>
      </w:r>
    </w:p>
    <w:p w14:paraId="7B2AD5B7" w14:textId="77777777" w:rsidR="00EF3B14" w:rsidRDefault="00EF3B14">
      <w:pPr>
        <w:rPr>
          <w:rFonts w:asciiTheme="minorHAnsi" w:hAnsiTheme="minorHAnsi"/>
          <w:b/>
          <w:sz w:val="28"/>
        </w:rPr>
      </w:pPr>
      <w:r>
        <w:rPr>
          <w:rFonts w:asciiTheme="minorHAnsi" w:hAnsiTheme="minorHAnsi"/>
          <w:b/>
          <w:sz w:val="28"/>
        </w:rPr>
        <w:br w:type="page"/>
      </w:r>
    </w:p>
    <w:p w14:paraId="3555C3CB" w14:textId="78BFDCF3" w:rsidR="00846B0D" w:rsidRPr="002A0AD3" w:rsidRDefault="007459AC" w:rsidP="00846B0D">
      <w:pPr>
        <w:shd w:val="clear" w:color="auto" w:fill="DBE5F1" w:themeFill="accent1" w:themeFillTint="33"/>
        <w:ind w:right="12"/>
        <w:jc w:val="center"/>
        <w:rPr>
          <w:rFonts w:asciiTheme="minorHAnsi" w:hAnsiTheme="minorHAnsi"/>
          <w:b/>
          <w:sz w:val="28"/>
        </w:rPr>
      </w:pPr>
      <w:r>
        <w:rPr>
          <w:rFonts w:asciiTheme="minorHAnsi" w:hAnsiTheme="minorHAnsi"/>
          <w:b/>
          <w:sz w:val="28"/>
        </w:rPr>
        <w:lastRenderedPageBreak/>
        <w:t>O</w:t>
      </w:r>
      <w:r w:rsidR="00846B0D" w:rsidRPr="002A0AD3">
        <w:rPr>
          <w:rFonts w:asciiTheme="minorHAnsi" w:hAnsiTheme="minorHAnsi"/>
          <w:b/>
          <w:sz w:val="28"/>
        </w:rPr>
        <w:t>regon Tech</w:t>
      </w:r>
      <w:r w:rsidR="00846B0D" w:rsidRPr="002A0AD3">
        <w:rPr>
          <w:rFonts w:ascii="Blue Highway" w:hAnsi="Blue Highway"/>
          <w:b/>
          <w:sz w:val="28"/>
        </w:rPr>
        <w:t>—</w:t>
      </w:r>
      <w:r w:rsidR="00846B0D" w:rsidRPr="002A0AD3">
        <w:rPr>
          <w:rFonts w:asciiTheme="minorHAnsi" w:hAnsiTheme="minorHAnsi"/>
          <w:b/>
          <w:sz w:val="28"/>
        </w:rPr>
        <w:t>Wilsonville</w:t>
      </w:r>
      <w:r w:rsidR="00846B0D">
        <w:rPr>
          <w:rFonts w:asciiTheme="minorHAnsi" w:hAnsiTheme="minorHAnsi"/>
          <w:b/>
          <w:sz w:val="28"/>
        </w:rPr>
        <w:t xml:space="preserve"> – 201</w:t>
      </w:r>
      <w:r w:rsidR="00A37005">
        <w:rPr>
          <w:rFonts w:asciiTheme="minorHAnsi" w:hAnsiTheme="minorHAnsi"/>
          <w:b/>
          <w:sz w:val="28"/>
        </w:rPr>
        <w:t>7</w:t>
      </w:r>
      <w:r w:rsidR="00846B0D">
        <w:rPr>
          <w:rFonts w:asciiTheme="minorHAnsi" w:hAnsiTheme="minorHAnsi"/>
          <w:b/>
          <w:sz w:val="28"/>
        </w:rPr>
        <w:t>-1</w:t>
      </w:r>
      <w:r w:rsidR="00A37005">
        <w:rPr>
          <w:rFonts w:asciiTheme="minorHAnsi" w:hAnsiTheme="minorHAnsi"/>
          <w:b/>
          <w:sz w:val="28"/>
        </w:rPr>
        <w:t>8</w:t>
      </w:r>
      <w:r w:rsidR="00846B0D">
        <w:rPr>
          <w:rFonts w:asciiTheme="minorHAnsi" w:hAnsiTheme="minorHAnsi"/>
          <w:b/>
          <w:sz w:val="28"/>
        </w:rPr>
        <w:t xml:space="preserve"> Academic Year</w:t>
      </w:r>
    </w:p>
    <w:p w14:paraId="36451565" w14:textId="77777777" w:rsidR="00846B0D" w:rsidRPr="00AB21B1" w:rsidRDefault="00846B0D" w:rsidP="00846B0D">
      <w:pPr>
        <w:pStyle w:val="Heading3"/>
      </w:pPr>
      <w:r w:rsidRPr="00AB21B1">
        <w:t>Differential Programs</w:t>
      </w:r>
      <w:r>
        <w:t>—</w:t>
      </w:r>
      <w:r w:rsidRPr="00AB21B1">
        <w:t>Graduate</w:t>
      </w:r>
    </w:p>
    <w:p w14:paraId="13528495" w14:textId="77777777" w:rsidR="00846B0D" w:rsidRPr="00282BFE" w:rsidRDefault="00846B0D" w:rsidP="00846B0D">
      <w:pPr>
        <w:ind w:right="12"/>
        <w:jc w:val="center"/>
        <w:rPr>
          <w:rFonts w:asciiTheme="minorHAnsi" w:hAnsiTheme="minorHAnsi"/>
          <w:b/>
          <w:sz w:val="24"/>
        </w:rPr>
      </w:pPr>
      <w:r w:rsidRPr="00282BFE">
        <w:rPr>
          <w:rFonts w:asciiTheme="minorHAnsi" w:hAnsiTheme="minorHAnsi"/>
          <w:b/>
          <w:sz w:val="24"/>
        </w:rPr>
        <w:t>Per Term</w:t>
      </w:r>
    </w:p>
    <w:p w14:paraId="5FB50724" w14:textId="77777777" w:rsidR="00846B0D" w:rsidRPr="00282BFE" w:rsidRDefault="00846B0D" w:rsidP="00846B0D">
      <w:pPr>
        <w:ind w:right="12"/>
        <w:jc w:val="center"/>
        <w:rPr>
          <w:rFonts w:asciiTheme="minorHAnsi" w:hAnsiTheme="minorHAnsi"/>
          <w:b/>
          <w:sz w:val="24"/>
        </w:rPr>
      </w:pPr>
    </w:p>
    <w:p w14:paraId="3EDFE711" w14:textId="77777777" w:rsidR="00846B0D" w:rsidRDefault="00846B0D" w:rsidP="00846B0D">
      <w:pPr>
        <w:ind w:right="12"/>
        <w:jc w:val="both"/>
        <w:rPr>
          <w:rFonts w:asciiTheme="minorHAnsi" w:hAnsiTheme="minorHAnsi"/>
          <w:i/>
          <w:sz w:val="24"/>
        </w:rPr>
      </w:pPr>
      <w:r w:rsidRPr="00282BFE">
        <w:rPr>
          <w:rFonts w:asciiTheme="minorHAnsi" w:hAnsiTheme="minorHAnsi"/>
          <w:i/>
          <w:sz w:val="24"/>
        </w:rPr>
        <w:t>Data in this table represents Tuition Costs only and does not include Mandatory Fees. The Mandatory Fee information can be found in the Mandatory Fee Tables for this institution</w:t>
      </w:r>
      <w:r>
        <w:rPr>
          <w:rFonts w:asciiTheme="minorHAnsi" w:hAnsiTheme="minorHAnsi"/>
          <w:i/>
          <w:sz w:val="24"/>
        </w:rPr>
        <w:t>.</w:t>
      </w:r>
    </w:p>
    <w:p w14:paraId="2EB03BBD" w14:textId="77777777" w:rsidR="00846B0D" w:rsidRPr="00282BFE" w:rsidRDefault="00846B0D" w:rsidP="00846B0D">
      <w:pPr>
        <w:ind w:right="12"/>
        <w:jc w:val="both"/>
        <w:rPr>
          <w:rFonts w:asciiTheme="minorHAnsi" w:hAnsiTheme="minorHAnsi"/>
          <w:i/>
          <w:sz w:val="24"/>
        </w:rPr>
      </w:pPr>
    </w:p>
    <w:p w14:paraId="39F07CDB" w14:textId="685FF220" w:rsidR="00846B0D" w:rsidRDefault="00EF213F" w:rsidP="00846B0D">
      <w:pPr>
        <w:rPr>
          <w:rFonts w:asciiTheme="minorHAnsi" w:hAnsiTheme="minorHAnsi"/>
          <w:b/>
          <w:i/>
          <w:sz w:val="24"/>
        </w:rPr>
      </w:pPr>
      <w:r>
        <w:rPr>
          <w:rFonts w:asciiTheme="minorHAnsi" w:hAnsiTheme="minorHAnsi"/>
          <w:b/>
          <w:i/>
          <w:sz w:val="24"/>
        </w:rPr>
        <w:t>Engineering &amp; Technology</w:t>
      </w:r>
    </w:p>
    <w:p w14:paraId="59F2A411" w14:textId="77777777" w:rsidR="00EF3B14" w:rsidRDefault="00EF3B14" w:rsidP="00846B0D">
      <w:pPr>
        <w:rPr>
          <w:rFonts w:asciiTheme="minorHAnsi" w:hAnsiTheme="minorHAnsi"/>
          <w:b/>
          <w:i/>
          <w:sz w:val="24"/>
        </w:rPr>
      </w:pPr>
    </w:p>
    <w:p w14:paraId="4C8CF718" w14:textId="15162D65" w:rsidR="00EF3B14" w:rsidRPr="001242C7" w:rsidRDefault="00583147" w:rsidP="00EF3B14">
      <w:pPr>
        <w:jc w:val="center"/>
        <w:rPr>
          <w:rFonts w:asciiTheme="minorHAnsi" w:hAnsiTheme="minorHAnsi"/>
          <w:b/>
          <w:i/>
          <w:sz w:val="24"/>
        </w:rPr>
      </w:pPr>
      <w:r>
        <w:rPr>
          <w:rFonts w:asciiTheme="minorHAnsi" w:hAnsiTheme="minorHAnsi"/>
          <w:b/>
          <w:i/>
          <w:noProof/>
          <w:sz w:val="24"/>
        </w:rPr>
        <w:drawing>
          <wp:inline distT="0" distB="0" distL="0" distR="0" wp14:anchorId="0ED82FEB" wp14:editId="7EF587A4">
            <wp:extent cx="2624328" cy="5934456"/>
            <wp:effectExtent l="0" t="0" r="508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ET WLV Grad.JPG"/>
                    <pic:cNvPicPr/>
                  </pic:nvPicPr>
                  <pic:blipFill>
                    <a:blip r:embed="rId21">
                      <a:extLst>
                        <a:ext uri="{28A0092B-C50C-407E-A947-70E740481C1C}">
                          <a14:useLocalDpi xmlns:a14="http://schemas.microsoft.com/office/drawing/2010/main" val="0"/>
                        </a:ext>
                      </a:extLst>
                    </a:blip>
                    <a:stretch>
                      <a:fillRect/>
                    </a:stretch>
                  </pic:blipFill>
                  <pic:spPr>
                    <a:xfrm>
                      <a:off x="0" y="0"/>
                      <a:ext cx="2624328" cy="5934456"/>
                    </a:xfrm>
                    <a:prstGeom prst="rect">
                      <a:avLst/>
                    </a:prstGeom>
                  </pic:spPr>
                </pic:pic>
              </a:graphicData>
            </a:graphic>
          </wp:inline>
        </w:drawing>
      </w:r>
    </w:p>
    <w:p w14:paraId="56F0222B" w14:textId="77777777" w:rsidR="00846B0D" w:rsidRDefault="00846B0D">
      <w:pPr>
        <w:rPr>
          <w:rFonts w:asciiTheme="minorHAnsi" w:hAnsiTheme="minorHAnsi"/>
          <w:b/>
          <w:sz w:val="24"/>
        </w:rPr>
      </w:pPr>
      <w:r>
        <w:rPr>
          <w:rFonts w:asciiTheme="minorHAnsi" w:hAnsiTheme="minorHAnsi"/>
          <w:b/>
          <w:sz w:val="24"/>
        </w:rPr>
        <w:br w:type="page"/>
      </w:r>
    </w:p>
    <w:p w14:paraId="48362189" w14:textId="08138994" w:rsidR="005855AC" w:rsidRDefault="005855AC" w:rsidP="005855AC">
      <w:pPr>
        <w:rPr>
          <w:rFonts w:asciiTheme="minorHAnsi" w:hAnsiTheme="minorHAnsi"/>
          <w:b/>
          <w:sz w:val="24"/>
        </w:rPr>
      </w:pPr>
    </w:p>
    <w:p w14:paraId="5FB16DE4" w14:textId="4314160F" w:rsidR="002C4F55" w:rsidRPr="002C4F55" w:rsidRDefault="002C4F55" w:rsidP="002C4F55">
      <w:pPr>
        <w:pStyle w:val="Heading2"/>
        <w:shd w:val="clear" w:color="auto" w:fill="EAF1DD" w:themeFill="accent3" w:themeFillTint="33"/>
        <w:jc w:val="center"/>
        <w:rPr>
          <w:lang w:val="en-US"/>
        </w:rPr>
      </w:pPr>
      <w:bookmarkStart w:id="121" w:name="_Toc322438450"/>
      <w:bookmarkStart w:id="122" w:name="_Toc322440214"/>
      <w:bookmarkStart w:id="123" w:name="_Toc322440297"/>
      <w:bookmarkStart w:id="124" w:name="_Toc421521624"/>
      <w:r w:rsidRPr="00AB21B1">
        <w:t xml:space="preserve">Oregon </w:t>
      </w:r>
      <w:bookmarkEnd w:id="121"/>
      <w:bookmarkEnd w:id="122"/>
      <w:bookmarkEnd w:id="123"/>
      <w:r w:rsidRPr="00AB21B1">
        <w:t>Tech</w:t>
      </w:r>
      <w:r>
        <w:t>–</w:t>
      </w:r>
      <w:r w:rsidRPr="00AB21B1">
        <w:t>Klamath Falls</w:t>
      </w:r>
      <w:r>
        <w:rPr>
          <w:lang w:val="en-US"/>
        </w:rPr>
        <w:t xml:space="preserve"> – Summer 201</w:t>
      </w:r>
      <w:bookmarkEnd w:id="124"/>
      <w:r w:rsidR="00A37005">
        <w:rPr>
          <w:lang w:val="en-US"/>
        </w:rPr>
        <w:t>8</w:t>
      </w:r>
    </w:p>
    <w:p w14:paraId="34D1BDF6" w14:textId="77777777" w:rsidR="002C4F55" w:rsidRPr="00AB21B1" w:rsidRDefault="002C4F55" w:rsidP="002C4F55">
      <w:pPr>
        <w:pStyle w:val="Heading3"/>
      </w:pPr>
      <w:bookmarkStart w:id="125" w:name="_Toc322438451"/>
      <w:bookmarkStart w:id="126" w:name="_Toc322440215"/>
      <w:bookmarkStart w:id="127" w:name="_Toc322440298"/>
      <w:bookmarkStart w:id="128" w:name="_Toc421521625"/>
      <w:r w:rsidRPr="00AB21B1">
        <w:t>Base Tuition</w:t>
      </w:r>
      <w:bookmarkEnd w:id="125"/>
      <w:bookmarkEnd w:id="126"/>
      <w:bookmarkEnd w:id="127"/>
      <w:bookmarkEnd w:id="128"/>
      <w:r w:rsidRPr="00AB21B1">
        <w:t xml:space="preserve"> </w:t>
      </w:r>
    </w:p>
    <w:p w14:paraId="6D71630D"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31F1DE03" w14:textId="77777777" w:rsidR="002C4F55" w:rsidRPr="00282BFE" w:rsidRDefault="002C4F55" w:rsidP="002C4F55">
      <w:pPr>
        <w:ind w:right="12"/>
        <w:jc w:val="center"/>
        <w:rPr>
          <w:rFonts w:asciiTheme="minorHAnsi" w:hAnsiTheme="minorHAnsi"/>
          <w:b/>
          <w:color w:val="FF0000"/>
          <w:sz w:val="24"/>
        </w:rPr>
      </w:pPr>
    </w:p>
    <w:p w14:paraId="26DEEF56" w14:textId="77777777" w:rsidR="002C4F55" w:rsidRDefault="002C4F55" w:rsidP="002C4F55">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51906C57" w14:textId="77777777" w:rsidR="003F5D16" w:rsidRPr="00282BFE" w:rsidRDefault="003F5D16" w:rsidP="002C4F55">
      <w:pPr>
        <w:ind w:right="12"/>
        <w:jc w:val="both"/>
        <w:rPr>
          <w:rFonts w:asciiTheme="minorHAnsi" w:hAnsiTheme="minorHAnsi"/>
          <w:sz w:val="24"/>
        </w:rPr>
      </w:pPr>
    </w:p>
    <w:p w14:paraId="2C9924FE" w14:textId="77777777" w:rsidR="002C4F55" w:rsidRPr="00282BFE" w:rsidRDefault="002C4F55" w:rsidP="002C4F55">
      <w:pPr>
        <w:ind w:right="12"/>
        <w:jc w:val="center"/>
        <w:rPr>
          <w:rFonts w:asciiTheme="minorHAnsi" w:hAnsiTheme="minorHAnsi"/>
          <w:b/>
          <w:sz w:val="24"/>
        </w:rPr>
      </w:pPr>
    </w:p>
    <w:p w14:paraId="0A2CE085" w14:textId="20FB0540" w:rsidR="002C4F55" w:rsidRPr="00282BFE" w:rsidRDefault="00583147" w:rsidP="002C4F55">
      <w:pPr>
        <w:ind w:right="12"/>
        <w:jc w:val="center"/>
        <w:rPr>
          <w:rFonts w:asciiTheme="minorHAnsi" w:hAnsiTheme="minorHAnsi"/>
          <w:b/>
          <w:sz w:val="24"/>
        </w:rPr>
      </w:pPr>
      <w:r>
        <w:rPr>
          <w:rFonts w:asciiTheme="minorHAnsi" w:hAnsiTheme="minorHAnsi"/>
          <w:b/>
          <w:noProof/>
          <w:sz w:val="24"/>
        </w:rPr>
        <w:drawing>
          <wp:inline distT="0" distB="0" distL="0" distR="0" wp14:anchorId="59053520" wp14:editId="5953DCD9">
            <wp:extent cx="4552950" cy="56197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Base Tuition.JPG"/>
                    <pic:cNvPicPr/>
                  </pic:nvPicPr>
                  <pic:blipFill>
                    <a:blip r:embed="rId12">
                      <a:extLst>
                        <a:ext uri="{28A0092B-C50C-407E-A947-70E740481C1C}">
                          <a14:useLocalDpi xmlns:a14="http://schemas.microsoft.com/office/drawing/2010/main" val="0"/>
                        </a:ext>
                      </a:extLst>
                    </a:blip>
                    <a:stretch>
                      <a:fillRect/>
                    </a:stretch>
                  </pic:blipFill>
                  <pic:spPr>
                    <a:xfrm>
                      <a:off x="0" y="0"/>
                      <a:ext cx="4552950" cy="5619750"/>
                    </a:xfrm>
                    <a:prstGeom prst="rect">
                      <a:avLst/>
                    </a:prstGeom>
                  </pic:spPr>
                </pic:pic>
              </a:graphicData>
            </a:graphic>
          </wp:inline>
        </w:drawing>
      </w:r>
    </w:p>
    <w:p w14:paraId="76AE034A" w14:textId="77777777" w:rsidR="002C4F55" w:rsidRDefault="002C4F55" w:rsidP="002C4F55">
      <w:pPr>
        <w:ind w:right="12"/>
        <w:jc w:val="center"/>
        <w:rPr>
          <w:rFonts w:asciiTheme="minorHAnsi" w:hAnsiTheme="minorHAnsi"/>
          <w:sz w:val="24"/>
        </w:rPr>
      </w:pPr>
      <w:r w:rsidRPr="00282BFE">
        <w:rPr>
          <w:rFonts w:asciiTheme="minorHAnsi" w:hAnsiTheme="minorHAnsi"/>
          <w:sz w:val="24"/>
        </w:rPr>
        <w:br w:type="page"/>
      </w:r>
    </w:p>
    <w:p w14:paraId="0CC117D6" w14:textId="749F1CE8" w:rsidR="002C4F55" w:rsidRPr="002A0AD3" w:rsidRDefault="002C4F55" w:rsidP="002C4F55">
      <w:pPr>
        <w:shd w:val="clear" w:color="auto" w:fill="EAF1DD" w:themeFill="accent3" w:themeFillTint="33"/>
        <w:ind w:right="12"/>
        <w:jc w:val="center"/>
        <w:rPr>
          <w:rFonts w:asciiTheme="minorHAnsi" w:hAnsiTheme="minorHAnsi"/>
          <w:b/>
          <w:sz w:val="28"/>
        </w:rPr>
      </w:pPr>
      <w:r w:rsidRPr="002A0AD3">
        <w:rPr>
          <w:rFonts w:asciiTheme="minorHAnsi" w:hAnsiTheme="minorHAnsi"/>
          <w:b/>
          <w:sz w:val="28"/>
        </w:rPr>
        <w:lastRenderedPageBreak/>
        <w:t>Oregon Tech–Klamath Falls</w:t>
      </w:r>
      <w:r w:rsidR="003F5D16">
        <w:rPr>
          <w:rFonts w:asciiTheme="minorHAnsi" w:hAnsiTheme="minorHAnsi"/>
          <w:b/>
          <w:sz w:val="28"/>
        </w:rPr>
        <w:t xml:space="preserve"> – Summer 201</w:t>
      </w:r>
      <w:r w:rsidR="00A37005">
        <w:rPr>
          <w:rFonts w:asciiTheme="minorHAnsi" w:hAnsiTheme="minorHAnsi"/>
          <w:b/>
          <w:sz w:val="28"/>
        </w:rPr>
        <w:t>8</w:t>
      </w:r>
    </w:p>
    <w:p w14:paraId="66BC1A39" w14:textId="77777777" w:rsidR="002C4F55" w:rsidRPr="00AB21B1" w:rsidRDefault="002C4F55" w:rsidP="002C4F55">
      <w:pPr>
        <w:pStyle w:val="Heading3"/>
      </w:pPr>
      <w:bookmarkStart w:id="129" w:name="_Toc322438452"/>
      <w:bookmarkStart w:id="130" w:name="_Toc322440216"/>
      <w:bookmarkStart w:id="131" w:name="_Toc322440299"/>
      <w:bookmarkStart w:id="132" w:name="_Toc421521626"/>
      <w:r w:rsidRPr="00AB21B1">
        <w:t>Mandatory Fees</w:t>
      </w:r>
      <w:bookmarkEnd w:id="129"/>
      <w:bookmarkEnd w:id="130"/>
      <w:bookmarkEnd w:id="131"/>
      <w:bookmarkEnd w:id="132"/>
    </w:p>
    <w:p w14:paraId="5946E05C"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0F1A1998" w14:textId="77777777" w:rsidR="002C4F55" w:rsidRPr="00282BFE" w:rsidRDefault="002C4F55" w:rsidP="002C4F55">
      <w:pPr>
        <w:ind w:right="12"/>
        <w:jc w:val="center"/>
        <w:rPr>
          <w:rFonts w:asciiTheme="minorHAnsi" w:hAnsiTheme="minorHAnsi"/>
          <w:b/>
          <w:sz w:val="24"/>
        </w:rPr>
      </w:pPr>
    </w:p>
    <w:p w14:paraId="77548C78" w14:textId="77777777" w:rsidR="002C4F55" w:rsidRPr="00282BFE" w:rsidRDefault="002C4F55" w:rsidP="002C4F55">
      <w:pPr>
        <w:ind w:right="12"/>
        <w:jc w:val="both"/>
        <w:rPr>
          <w:rFonts w:asciiTheme="minorHAnsi" w:hAnsiTheme="minorHAnsi"/>
          <w:i/>
          <w:sz w:val="24"/>
        </w:rPr>
      </w:pPr>
      <w:r w:rsidRPr="00282BFE">
        <w:rPr>
          <w:rFonts w:asciiTheme="minorHAnsi" w:hAnsiTheme="minorHAnsi"/>
          <w:i/>
          <w:sz w:val="24"/>
        </w:rPr>
        <w:t xml:space="preserve">The mandatory fees included in the following schedule are applicable to all </w:t>
      </w:r>
      <w:r>
        <w:rPr>
          <w:rFonts w:asciiTheme="minorHAnsi" w:hAnsiTheme="minorHAnsi"/>
          <w:i/>
          <w:sz w:val="24"/>
        </w:rPr>
        <w:t>Oregon Tech</w:t>
      </w:r>
      <w:r w:rsidRPr="00282BFE">
        <w:rPr>
          <w:rFonts w:asciiTheme="minorHAnsi" w:hAnsiTheme="minorHAnsi"/>
          <w:i/>
          <w:sz w:val="24"/>
        </w:rPr>
        <w:t xml:space="preserve"> - Klamath Falls Campus students and should be added to the applicable tuition charges (based on class-level and total credits) to determine total tuition and fees. In addition, institutions may charge additional fees for specific courses (lab fees, etc.) and services (parking, </w:t>
      </w:r>
      <w:r>
        <w:rPr>
          <w:rFonts w:asciiTheme="minorHAnsi" w:hAnsiTheme="minorHAnsi"/>
          <w:i/>
          <w:sz w:val="24"/>
        </w:rPr>
        <w:t xml:space="preserve">etc.)  </w:t>
      </w:r>
      <w:r w:rsidRPr="00282BFE">
        <w:rPr>
          <w:rFonts w:asciiTheme="minorHAnsi" w:hAnsiTheme="minorHAnsi"/>
          <w:i/>
          <w:sz w:val="24"/>
        </w:rPr>
        <w:t xml:space="preserve">Contact the campus directly for information regarding any additional fees. </w:t>
      </w:r>
    </w:p>
    <w:p w14:paraId="019DD6E7" w14:textId="77777777" w:rsidR="002C4F55" w:rsidRPr="00282BFE" w:rsidRDefault="002C4F55" w:rsidP="002C4F55">
      <w:pPr>
        <w:ind w:right="12"/>
        <w:jc w:val="both"/>
        <w:rPr>
          <w:rFonts w:asciiTheme="minorHAnsi" w:hAnsiTheme="minorHAnsi"/>
          <w:i/>
          <w:sz w:val="24"/>
        </w:rPr>
      </w:pPr>
    </w:p>
    <w:p w14:paraId="1F4A0069" w14:textId="150545FF" w:rsidR="002C4F55" w:rsidRDefault="002C4F55" w:rsidP="002C4F55">
      <w:pPr>
        <w:ind w:right="12"/>
        <w:jc w:val="both"/>
        <w:rPr>
          <w:rFonts w:asciiTheme="minorHAnsi" w:hAnsiTheme="minorHAnsi"/>
          <w:i/>
          <w:sz w:val="24"/>
        </w:rPr>
      </w:pPr>
      <w:r w:rsidRPr="00BF5D13">
        <w:rPr>
          <w:rFonts w:asciiTheme="minorHAnsi" w:hAnsiTheme="minorHAnsi"/>
          <w:i/>
          <w:sz w:val="24"/>
          <w:u w:val="single"/>
        </w:rPr>
        <w:t>Note</w:t>
      </w:r>
      <w:r w:rsidRPr="00282BFE">
        <w:rPr>
          <w:rFonts w:asciiTheme="minorHAnsi" w:hAnsiTheme="minorHAnsi"/>
          <w:i/>
          <w:sz w:val="24"/>
        </w:rPr>
        <w:t xml:space="preserve">: The following mandatory fees are not applicable to </w:t>
      </w:r>
      <w:r>
        <w:rPr>
          <w:rFonts w:asciiTheme="minorHAnsi" w:hAnsiTheme="minorHAnsi"/>
          <w:i/>
          <w:sz w:val="24"/>
        </w:rPr>
        <w:t>Oregon Tech</w:t>
      </w:r>
      <w:r w:rsidRPr="00282BFE">
        <w:rPr>
          <w:rFonts w:asciiTheme="minorHAnsi" w:hAnsiTheme="minorHAnsi"/>
          <w:i/>
          <w:sz w:val="24"/>
        </w:rPr>
        <w:t xml:space="preserve"> shared campus programs. The mandatory fees applicable to those programs are included on their respective tuition and fee schedules.</w:t>
      </w:r>
    </w:p>
    <w:p w14:paraId="065AF6D8" w14:textId="230BEF9C" w:rsidR="00583147" w:rsidRDefault="00583147" w:rsidP="002C4F55">
      <w:pPr>
        <w:ind w:right="12"/>
        <w:jc w:val="both"/>
        <w:rPr>
          <w:rFonts w:asciiTheme="minorHAnsi" w:hAnsiTheme="minorHAnsi"/>
          <w:i/>
          <w:sz w:val="24"/>
        </w:rPr>
      </w:pPr>
    </w:p>
    <w:p w14:paraId="1BF40858" w14:textId="7BF0D52F" w:rsidR="00583147" w:rsidRDefault="00583147" w:rsidP="002C4F55">
      <w:pPr>
        <w:ind w:right="12"/>
        <w:jc w:val="both"/>
        <w:rPr>
          <w:rFonts w:asciiTheme="minorHAnsi" w:hAnsiTheme="minorHAnsi"/>
          <w:i/>
          <w:sz w:val="24"/>
        </w:rPr>
      </w:pPr>
    </w:p>
    <w:p w14:paraId="74FE813A" w14:textId="42761C39" w:rsidR="002C4F55" w:rsidRPr="00282BFE" w:rsidRDefault="00583147" w:rsidP="002C4F55">
      <w:pPr>
        <w:ind w:right="12"/>
        <w:jc w:val="center"/>
        <w:rPr>
          <w:rFonts w:asciiTheme="minorHAnsi" w:hAnsiTheme="minorHAnsi"/>
          <w:b/>
          <w:sz w:val="24"/>
        </w:rPr>
      </w:pPr>
      <w:r>
        <w:rPr>
          <w:rFonts w:asciiTheme="minorHAnsi" w:hAnsiTheme="minorHAnsi"/>
          <w:b/>
          <w:noProof/>
          <w:sz w:val="24"/>
        </w:rPr>
        <w:drawing>
          <wp:anchor distT="0" distB="0" distL="114300" distR="114300" simplePos="0" relativeHeight="251660288" behindDoc="0" locked="0" layoutInCell="1" allowOverlap="1" wp14:anchorId="4A1C54F9" wp14:editId="3D23498A">
            <wp:simplePos x="0" y="0"/>
            <wp:positionH relativeFrom="column">
              <wp:posOffset>-200025</wp:posOffset>
            </wp:positionH>
            <wp:positionV relativeFrom="paragraph">
              <wp:posOffset>189865</wp:posOffset>
            </wp:positionV>
            <wp:extent cx="7296785" cy="3876675"/>
            <wp:effectExtent l="0" t="0" r="0" b="9525"/>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Mandatory Fees KF Summer.JPG"/>
                    <pic:cNvPicPr/>
                  </pic:nvPicPr>
                  <pic:blipFill>
                    <a:blip r:embed="rId22">
                      <a:extLst>
                        <a:ext uri="{28A0092B-C50C-407E-A947-70E740481C1C}">
                          <a14:useLocalDpi xmlns:a14="http://schemas.microsoft.com/office/drawing/2010/main" val="0"/>
                        </a:ext>
                      </a:extLst>
                    </a:blip>
                    <a:stretch>
                      <a:fillRect/>
                    </a:stretch>
                  </pic:blipFill>
                  <pic:spPr>
                    <a:xfrm>
                      <a:off x="0" y="0"/>
                      <a:ext cx="7296785" cy="3876675"/>
                    </a:xfrm>
                    <a:prstGeom prst="rect">
                      <a:avLst/>
                    </a:prstGeom>
                  </pic:spPr>
                </pic:pic>
              </a:graphicData>
            </a:graphic>
          </wp:anchor>
        </w:drawing>
      </w:r>
    </w:p>
    <w:p w14:paraId="62B0858B" w14:textId="04441213" w:rsidR="002C4F55" w:rsidRPr="00282BFE" w:rsidRDefault="002C4F55" w:rsidP="00583147">
      <w:pPr>
        <w:ind w:right="12"/>
        <w:rPr>
          <w:rFonts w:asciiTheme="minorHAnsi" w:hAnsiTheme="minorHAnsi"/>
          <w:b/>
          <w:sz w:val="24"/>
        </w:rPr>
      </w:pPr>
    </w:p>
    <w:p w14:paraId="29000448" w14:textId="77777777" w:rsidR="008B081D" w:rsidRDefault="008B081D">
      <w:pPr>
        <w:rPr>
          <w:rFonts w:asciiTheme="minorHAnsi" w:hAnsiTheme="minorHAnsi"/>
          <w:sz w:val="24"/>
        </w:rPr>
      </w:pPr>
      <w:r>
        <w:rPr>
          <w:rFonts w:asciiTheme="minorHAnsi" w:hAnsiTheme="minorHAnsi"/>
          <w:sz w:val="24"/>
        </w:rPr>
        <w:br w:type="page"/>
      </w:r>
    </w:p>
    <w:p w14:paraId="00B10F62" w14:textId="1724D9DC" w:rsidR="008B081D" w:rsidRPr="002A0AD3" w:rsidRDefault="008B081D" w:rsidP="008B081D">
      <w:pPr>
        <w:shd w:val="clear" w:color="auto" w:fill="EAF1DD" w:themeFill="accent3" w:themeFillTint="33"/>
        <w:ind w:right="12"/>
        <w:jc w:val="center"/>
        <w:rPr>
          <w:rFonts w:asciiTheme="minorHAnsi" w:hAnsiTheme="minorHAnsi"/>
          <w:sz w:val="28"/>
        </w:rPr>
      </w:pPr>
      <w:r w:rsidRPr="002A0AD3">
        <w:rPr>
          <w:rFonts w:asciiTheme="minorHAnsi" w:hAnsiTheme="minorHAnsi"/>
          <w:b/>
          <w:sz w:val="28"/>
        </w:rPr>
        <w:lastRenderedPageBreak/>
        <w:t>Oregon Tech–Klamath Falls</w:t>
      </w:r>
      <w:r>
        <w:rPr>
          <w:rFonts w:asciiTheme="minorHAnsi" w:hAnsiTheme="minorHAnsi"/>
          <w:b/>
          <w:sz w:val="28"/>
        </w:rPr>
        <w:t xml:space="preserve"> – Summer 201</w:t>
      </w:r>
      <w:r w:rsidR="00A37005">
        <w:rPr>
          <w:rFonts w:asciiTheme="minorHAnsi" w:hAnsiTheme="minorHAnsi"/>
          <w:b/>
          <w:sz w:val="28"/>
        </w:rPr>
        <w:t>8</w:t>
      </w:r>
    </w:p>
    <w:p w14:paraId="23A7D22F" w14:textId="77777777" w:rsidR="008B081D" w:rsidRPr="00282BFE" w:rsidRDefault="008B081D" w:rsidP="008B081D">
      <w:pPr>
        <w:pStyle w:val="Heading3"/>
        <w:rPr>
          <w:rFonts w:asciiTheme="minorHAnsi" w:hAnsiTheme="minorHAnsi"/>
          <w:b w:val="0"/>
          <w:sz w:val="24"/>
        </w:rPr>
      </w:pPr>
      <w:r w:rsidRPr="00AB21B1">
        <w:t>Differential Programs</w:t>
      </w:r>
      <w:r>
        <w:t>—</w:t>
      </w:r>
      <w:r w:rsidRPr="00AB21B1">
        <w:t>Undergraduate</w:t>
      </w:r>
      <w:r w:rsidRPr="00282BFE">
        <w:rPr>
          <w:rFonts w:asciiTheme="minorHAnsi" w:hAnsiTheme="minorHAnsi"/>
          <w:b w:val="0"/>
          <w:sz w:val="24"/>
        </w:rPr>
        <w:t xml:space="preserve"> </w:t>
      </w:r>
    </w:p>
    <w:p w14:paraId="783715A9" w14:textId="77777777" w:rsidR="008B081D" w:rsidRPr="00282BFE" w:rsidRDefault="008B081D" w:rsidP="008B081D">
      <w:pPr>
        <w:ind w:right="12"/>
        <w:jc w:val="center"/>
        <w:rPr>
          <w:rFonts w:asciiTheme="minorHAnsi" w:hAnsiTheme="minorHAnsi"/>
          <w:b/>
          <w:sz w:val="24"/>
        </w:rPr>
      </w:pPr>
      <w:r w:rsidRPr="00282BFE">
        <w:rPr>
          <w:rFonts w:asciiTheme="minorHAnsi" w:hAnsiTheme="minorHAnsi"/>
          <w:b/>
          <w:sz w:val="24"/>
        </w:rPr>
        <w:t>Per Term</w:t>
      </w:r>
    </w:p>
    <w:p w14:paraId="7446EFC3" w14:textId="77777777" w:rsidR="008B081D" w:rsidRPr="00282BFE" w:rsidRDefault="008B081D" w:rsidP="008B081D">
      <w:pPr>
        <w:ind w:right="12"/>
        <w:jc w:val="center"/>
        <w:rPr>
          <w:rFonts w:asciiTheme="minorHAnsi" w:hAnsiTheme="minorHAnsi"/>
          <w:b/>
          <w:color w:val="FF0000"/>
          <w:sz w:val="24"/>
        </w:rPr>
      </w:pPr>
    </w:p>
    <w:p w14:paraId="6068FBB5" w14:textId="77777777" w:rsidR="008B081D" w:rsidRDefault="008B081D" w:rsidP="008B081D">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368D2FF0" w14:textId="77777777" w:rsidR="008B081D" w:rsidRPr="00282BFE" w:rsidRDefault="008B081D" w:rsidP="008B081D">
      <w:pPr>
        <w:ind w:right="12"/>
        <w:jc w:val="both"/>
        <w:rPr>
          <w:rFonts w:asciiTheme="minorHAnsi" w:hAnsiTheme="minorHAnsi"/>
          <w:i/>
          <w:sz w:val="24"/>
        </w:rPr>
      </w:pPr>
    </w:p>
    <w:p w14:paraId="6174D437" w14:textId="77777777" w:rsidR="008B081D" w:rsidRPr="00282BFE" w:rsidRDefault="008B081D" w:rsidP="008B081D">
      <w:pPr>
        <w:ind w:right="12"/>
        <w:rPr>
          <w:rFonts w:asciiTheme="minorHAnsi" w:hAnsiTheme="minorHAnsi"/>
          <w:i/>
          <w:sz w:val="24"/>
        </w:rPr>
      </w:pPr>
    </w:p>
    <w:p w14:paraId="59FE2D80" w14:textId="77777777" w:rsidR="008B081D" w:rsidRPr="005F377C" w:rsidRDefault="008B081D" w:rsidP="008B081D">
      <w:pPr>
        <w:rPr>
          <w:rFonts w:asciiTheme="minorHAnsi" w:hAnsiTheme="minorHAnsi"/>
          <w:b/>
          <w:i/>
          <w:sz w:val="24"/>
        </w:rPr>
      </w:pPr>
      <w:r>
        <w:rPr>
          <w:rFonts w:asciiTheme="minorHAnsi" w:hAnsiTheme="minorHAnsi"/>
          <w:b/>
          <w:i/>
          <w:sz w:val="24"/>
        </w:rPr>
        <w:t>Allied Health</w:t>
      </w:r>
    </w:p>
    <w:p w14:paraId="07247A72" w14:textId="77777777" w:rsidR="008B081D" w:rsidRDefault="008B081D" w:rsidP="008B081D">
      <w:pPr>
        <w:ind w:right="12"/>
        <w:jc w:val="center"/>
        <w:rPr>
          <w:rFonts w:asciiTheme="minorHAnsi" w:hAnsiTheme="minorHAnsi"/>
          <w:i/>
          <w:sz w:val="24"/>
        </w:rPr>
      </w:pPr>
    </w:p>
    <w:p w14:paraId="1D7A0CF5" w14:textId="77777777" w:rsidR="008B081D" w:rsidRDefault="008B081D" w:rsidP="008B081D">
      <w:pPr>
        <w:ind w:right="12"/>
        <w:jc w:val="center"/>
        <w:rPr>
          <w:rFonts w:asciiTheme="minorHAnsi" w:hAnsiTheme="minorHAnsi"/>
          <w:i/>
          <w:sz w:val="24"/>
        </w:rPr>
      </w:pPr>
    </w:p>
    <w:p w14:paraId="6E4FC68D" w14:textId="2B03143A" w:rsidR="008B081D" w:rsidRDefault="00102D6B" w:rsidP="008B081D">
      <w:pPr>
        <w:ind w:right="12"/>
        <w:jc w:val="center"/>
        <w:rPr>
          <w:rFonts w:asciiTheme="minorHAnsi" w:hAnsiTheme="minorHAnsi"/>
          <w:i/>
          <w:sz w:val="24"/>
        </w:rPr>
      </w:pPr>
      <w:r>
        <w:rPr>
          <w:rFonts w:asciiTheme="minorHAnsi" w:hAnsiTheme="minorHAnsi"/>
          <w:i/>
          <w:noProof/>
          <w:sz w:val="24"/>
        </w:rPr>
        <w:drawing>
          <wp:inline distT="0" distB="0" distL="0" distR="0" wp14:anchorId="302BAC72" wp14:editId="464CC11C">
            <wp:extent cx="2647950" cy="592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ied Health.JPG"/>
                    <pic:cNvPicPr/>
                  </pic:nvPicPr>
                  <pic:blipFill>
                    <a:blip r:embed="rId13">
                      <a:extLst>
                        <a:ext uri="{28A0092B-C50C-407E-A947-70E740481C1C}">
                          <a14:useLocalDpi xmlns:a14="http://schemas.microsoft.com/office/drawing/2010/main" val="0"/>
                        </a:ext>
                      </a:extLst>
                    </a:blip>
                    <a:stretch>
                      <a:fillRect/>
                    </a:stretch>
                  </pic:blipFill>
                  <pic:spPr>
                    <a:xfrm>
                      <a:off x="0" y="0"/>
                      <a:ext cx="2647950" cy="5924550"/>
                    </a:xfrm>
                    <a:prstGeom prst="rect">
                      <a:avLst/>
                    </a:prstGeom>
                  </pic:spPr>
                </pic:pic>
              </a:graphicData>
            </a:graphic>
          </wp:inline>
        </w:drawing>
      </w:r>
      <w:bookmarkStart w:id="133" w:name="_GoBack"/>
      <w:bookmarkEnd w:id="133"/>
    </w:p>
    <w:p w14:paraId="05810E3B" w14:textId="77777777" w:rsidR="008B081D" w:rsidRPr="00282BFE" w:rsidRDefault="008B081D" w:rsidP="008B081D">
      <w:pPr>
        <w:ind w:right="12"/>
        <w:jc w:val="center"/>
        <w:rPr>
          <w:rFonts w:asciiTheme="minorHAnsi" w:hAnsiTheme="minorHAnsi"/>
          <w:i/>
          <w:sz w:val="24"/>
        </w:rPr>
      </w:pPr>
    </w:p>
    <w:p w14:paraId="430B9C6A" w14:textId="77777777" w:rsidR="002C4F55" w:rsidRPr="00282BFE" w:rsidRDefault="002C4F55" w:rsidP="002C4F55">
      <w:pPr>
        <w:ind w:right="12"/>
        <w:rPr>
          <w:rFonts w:asciiTheme="minorHAnsi" w:hAnsiTheme="minorHAnsi"/>
          <w:sz w:val="24"/>
        </w:rPr>
      </w:pPr>
      <w:r w:rsidRPr="00282BFE">
        <w:rPr>
          <w:rFonts w:asciiTheme="minorHAnsi" w:hAnsiTheme="minorHAnsi"/>
          <w:sz w:val="24"/>
        </w:rPr>
        <w:br w:type="page"/>
      </w:r>
    </w:p>
    <w:p w14:paraId="2F7C6414" w14:textId="08D6DF21" w:rsidR="002C4F55" w:rsidRPr="002A0AD3" w:rsidRDefault="002C4F55" w:rsidP="002C4F55">
      <w:pPr>
        <w:shd w:val="clear" w:color="auto" w:fill="EAF1DD" w:themeFill="accent3" w:themeFillTint="33"/>
        <w:ind w:right="12"/>
        <w:jc w:val="center"/>
        <w:rPr>
          <w:rFonts w:asciiTheme="minorHAnsi" w:hAnsiTheme="minorHAnsi"/>
          <w:sz w:val="28"/>
        </w:rPr>
      </w:pPr>
      <w:r w:rsidRPr="002A0AD3">
        <w:rPr>
          <w:rFonts w:asciiTheme="minorHAnsi" w:hAnsiTheme="minorHAnsi"/>
          <w:b/>
          <w:sz w:val="28"/>
        </w:rPr>
        <w:lastRenderedPageBreak/>
        <w:t>Oregon Tech–Klamath Falls</w:t>
      </w:r>
      <w:r>
        <w:rPr>
          <w:rFonts w:asciiTheme="minorHAnsi" w:hAnsiTheme="minorHAnsi"/>
          <w:b/>
          <w:sz w:val="28"/>
        </w:rPr>
        <w:t xml:space="preserve"> – </w:t>
      </w:r>
      <w:r w:rsidR="00A37005">
        <w:rPr>
          <w:rFonts w:asciiTheme="minorHAnsi" w:hAnsiTheme="minorHAnsi"/>
          <w:b/>
          <w:sz w:val="28"/>
        </w:rPr>
        <w:t>Summer 2018</w:t>
      </w:r>
    </w:p>
    <w:p w14:paraId="52181760" w14:textId="77777777" w:rsidR="002C4F55" w:rsidRPr="00282BFE" w:rsidRDefault="002C4F55" w:rsidP="002C4F55">
      <w:pPr>
        <w:pStyle w:val="Heading3"/>
        <w:rPr>
          <w:rFonts w:asciiTheme="minorHAnsi" w:hAnsiTheme="minorHAnsi"/>
          <w:b w:val="0"/>
          <w:sz w:val="24"/>
        </w:rPr>
      </w:pPr>
      <w:bookmarkStart w:id="134" w:name="_Toc421521627"/>
      <w:r w:rsidRPr="00AB21B1">
        <w:t>Differential Programs</w:t>
      </w:r>
      <w:r>
        <w:t>—</w:t>
      </w:r>
      <w:r w:rsidRPr="00AB21B1">
        <w:t>Undergraduate</w:t>
      </w:r>
      <w:bookmarkEnd w:id="134"/>
      <w:r w:rsidRPr="00282BFE">
        <w:rPr>
          <w:rFonts w:asciiTheme="minorHAnsi" w:hAnsiTheme="minorHAnsi"/>
          <w:b w:val="0"/>
          <w:sz w:val="24"/>
        </w:rPr>
        <w:t xml:space="preserve"> </w:t>
      </w:r>
    </w:p>
    <w:p w14:paraId="01459BFD"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667DF1C7" w14:textId="77777777" w:rsidR="002C4F55" w:rsidRPr="00282BFE" w:rsidRDefault="002C4F55" w:rsidP="002C4F55">
      <w:pPr>
        <w:ind w:right="12"/>
        <w:jc w:val="center"/>
        <w:rPr>
          <w:rFonts w:asciiTheme="minorHAnsi" w:hAnsiTheme="minorHAnsi"/>
          <w:b/>
          <w:color w:val="FF0000"/>
          <w:sz w:val="24"/>
        </w:rPr>
      </w:pPr>
    </w:p>
    <w:p w14:paraId="08B15A55" w14:textId="77777777" w:rsidR="002C4F55" w:rsidRDefault="002C4F55" w:rsidP="002C4F55">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16E31133" w14:textId="77777777" w:rsidR="003F5D16" w:rsidRPr="00282BFE" w:rsidRDefault="003F5D16" w:rsidP="002C4F55">
      <w:pPr>
        <w:ind w:right="12"/>
        <w:jc w:val="both"/>
        <w:rPr>
          <w:rFonts w:asciiTheme="minorHAnsi" w:hAnsiTheme="minorHAnsi"/>
          <w:i/>
          <w:sz w:val="24"/>
        </w:rPr>
      </w:pPr>
    </w:p>
    <w:p w14:paraId="20178C59" w14:textId="77777777" w:rsidR="002C4F55" w:rsidRPr="00282BFE" w:rsidRDefault="002C4F55" w:rsidP="002C4F55">
      <w:pPr>
        <w:ind w:right="12"/>
        <w:rPr>
          <w:rFonts w:asciiTheme="minorHAnsi" w:hAnsiTheme="minorHAnsi"/>
          <w:i/>
          <w:sz w:val="24"/>
        </w:rPr>
      </w:pPr>
    </w:p>
    <w:p w14:paraId="426FFC5D" w14:textId="77777777" w:rsidR="002C4F55" w:rsidRPr="005F377C" w:rsidRDefault="002C4F55" w:rsidP="002C4F55">
      <w:pPr>
        <w:rPr>
          <w:rFonts w:asciiTheme="minorHAnsi" w:hAnsiTheme="minorHAnsi"/>
          <w:b/>
          <w:i/>
          <w:sz w:val="24"/>
        </w:rPr>
      </w:pPr>
      <w:r w:rsidRPr="005F377C">
        <w:rPr>
          <w:rFonts w:asciiTheme="minorHAnsi" w:hAnsiTheme="minorHAnsi"/>
          <w:b/>
          <w:i/>
          <w:sz w:val="24"/>
        </w:rPr>
        <w:t xml:space="preserve">Engineering &amp; Technology </w:t>
      </w:r>
    </w:p>
    <w:p w14:paraId="5D3140F1" w14:textId="77777777" w:rsidR="002C4F55" w:rsidRPr="00282BFE" w:rsidRDefault="002C4F55" w:rsidP="002C4F55">
      <w:pPr>
        <w:ind w:right="12"/>
        <w:rPr>
          <w:rFonts w:asciiTheme="minorHAnsi" w:hAnsiTheme="minorHAnsi"/>
          <w:i/>
          <w:sz w:val="24"/>
        </w:rPr>
      </w:pPr>
    </w:p>
    <w:p w14:paraId="4595507E" w14:textId="152F1CD9" w:rsidR="008B081D" w:rsidRDefault="00452BCB" w:rsidP="002C4F55">
      <w:pPr>
        <w:ind w:right="12"/>
        <w:jc w:val="center"/>
      </w:pPr>
      <w:r>
        <w:rPr>
          <w:noProof/>
        </w:rPr>
        <w:drawing>
          <wp:inline distT="0" distB="0" distL="0" distR="0" wp14:anchorId="4B727877" wp14:editId="48A1E67D">
            <wp:extent cx="2609850" cy="592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gineering &amp; Technology.JPG"/>
                    <pic:cNvPicPr/>
                  </pic:nvPicPr>
                  <pic:blipFill>
                    <a:blip r:embed="rId14">
                      <a:extLst>
                        <a:ext uri="{28A0092B-C50C-407E-A947-70E740481C1C}">
                          <a14:useLocalDpi xmlns:a14="http://schemas.microsoft.com/office/drawing/2010/main" val="0"/>
                        </a:ext>
                      </a:extLst>
                    </a:blip>
                    <a:stretch>
                      <a:fillRect/>
                    </a:stretch>
                  </pic:blipFill>
                  <pic:spPr>
                    <a:xfrm>
                      <a:off x="0" y="0"/>
                      <a:ext cx="2609850" cy="5924550"/>
                    </a:xfrm>
                    <a:prstGeom prst="rect">
                      <a:avLst/>
                    </a:prstGeom>
                  </pic:spPr>
                </pic:pic>
              </a:graphicData>
            </a:graphic>
          </wp:inline>
        </w:drawing>
      </w:r>
      <w:r w:rsidR="00E76E86" w:rsidRPr="00E76E86">
        <w:t xml:space="preserve"> </w:t>
      </w:r>
    </w:p>
    <w:p w14:paraId="0C3DBDAE" w14:textId="77777777" w:rsidR="008B081D" w:rsidRDefault="008B081D" w:rsidP="002C4F55">
      <w:pPr>
        <w:ind w:right="12"/>
        <w:jc w:val="center"/>
      </w:pPr>
    </w:p>
    <w:p w14:paraId="37A26FC3" w14:textId="77777777" w:rsidR="008B081D" w:rsidRDefault="008B081D">
      <w:r>
        <w:br w:type="page"/>
      </w:r>
    </w:p>
    <w:p w14:paraId="6DA6647A" w14:textId="363A9AAE" w:rsidR="008B081D" w:rsidRPr="002A0AD3" w:rsidRDefault="008B081D" w:rsidP="008B081D">
      <w:pPr>
        <w:shd w:val="clear" w:color="auto" w:fill="EAF1DD" w:themeFill="accent3" w:themeFillTint="33"/>
        <w:ind w:right="12"/>
        <w:jc w:val="center"/>
        <w:rPr>
          <w:rFonts w:asciiTheme="minorHAnsi" w:hAnsiTheme="minorHAnsi"/>
          <w:sz w:val="28"/>
        </w:rPr>
      </w:pPr>
      <w:r w:rsidRPr="002A0AD3">
        <w:rPr>
          <w:rFonts w:asciiTheme="minorHAnsi" w:hAnsiTheme="minorHAnsi"/>
          <w:b/>
          <w:sz w:val="28"/>
        </w:rPr>
        <w:lastRenderedPageBreak/>
        <w:t>Oregon Tech–Klamath Falls</w:t>
      </w:r>
      <w:r>
        <w:rPr>
          <w:rFonts w:asciiTheme="minorHAnsi" w:hAnsiTheme="minorHAnsi"/>
          <w:b/>
          <w:sz w:val="28"/>
        </w:rPr>
        <w:t xml:space="preserve"> – </w:t>
      </w:r>
      <w:r w:rsidR="00A37005">
        <w:rPr>
          <w:rFonts w:asciiTheme="minorHAnsi" w:hAnsiTheme="minorHAnsi"/>
          <w:b/>
          <w:sz w:val="28"/>
        </w:rPr>
        <w:t>Summer 2018</w:t>
      </w:r>
    </w:p>
    <w:p w14:paraId="236997F4" w14:textId="77777777" w:rsidR="008B081D" w:rsidRPr="00282BFE" w:rsidRDefault="008B081D" w:rsidP="008B081D">
      <w:pPr>
        <w:pStyle w:val="Heading3"/>
        <w:rPr>
          <w:rFonts w:asciiTheme="minorHAnsi" w:hAnsiTheme="minorHAnsi"/>
          <w:b w:val="0"/>
          <w:sz w:val="24"/>
        </w:rPr>
      </w:pPr>
      <w:r w:rsidRPr="00AB21B1">
        <w:t>Differential Programs</w:t>
      </w:r>
      <w:r>
        <w:t>—</w:t>
      </w:r>
      <w:r w:rsidRPr="00AB21B1">
        <w:t>Graduate</w:t>
      </w:r>
      <w:r w:rsidRPr="00282BFE">
        <w:rPr>
          <w:rFonts w:asciiTheme="minorHAnsi" w:hAnsiTheme="minorHAnsi"/>
          <w:b w:val="0"/>
          <w:sz w:val="24"/>
        </w:rPr>
        <w:t xml:space="preserve"> </w:t>
      </w:r>
    </w:p>
    <w:p w14:paraId="24F73A64" w14:textId="77777777" w:rsidR="008B081D" w:rsidRPr="00282BFE" w:rsidRDefault="008B081D" w:rsidP="008B081D">
      <w:pPr>
        <w:ind w:right="12"/>
        <w:jc w:val="center"/>
        <w:rPr>
          <w:rFonts w:asciiTheme="minorHAnsi" w:hAnsiTheme="minorHAnsi"/>
          <w:b/>
          <w:sz w:val="24"/>
        </w:rPr>
      </w:pPr>
      <w:r w:rsidRPr="00282BFE">
        <w:rPr>
          <w:rFonts w:asciiTheme="minorHAnsi" w:hAnsiTheme="minorHAnsi"/>
          <w:b/>
          <w:sz w:val="24"/>
        </w:rPr>
        <w:t>Per Term</w:t>
      </w:r>
    </w:p>
    <w:p w14:paraId="3B87E47F" w14:textId="77777777" w:rsidR="008B081D" w:rsidRPr="00282BFE" w:rsidRDefault="008B081D" w:rsidP="008B081D">
      <w:pPr>
        <w:ind w:right="12"/>
        <w:jc w:val="center"/>
        <w:rPr>
          <w:rFonts w:asciiTheme="minorHAnsi" w:hAnsiTheme="minorHAnsi"/>
          <w:b/>
          <w:color w:val="FF0000"/>
          <w:sz w:val="24"/>
        </w:rPr>
      </w:pPr>
    </w:p>
    <w:p w14:paraId="6755B1A1" w14:textId="77777777" w:rsidR="008B081D" w:rsidRDefault="008B081D" w:rsidP="008B081D">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5D8C50FE" w14:textId="77777777" w:rsidR="008B081D" w:rsidRPr="00282BFE" w:rsidRDefault="008B081D" w:rsidP="008B081D">
      <w:pPr>
        <w:ind w:right="12"/>
        <w:jc w:val="both"/>
        <w:rPr>
          <w:rFonts w:asciiTheme="minorHAnsi" w:hAnsiTheme="minorHAnsi"/>
          <w:i/>
          <w:sz w:val="24"/>
        </w:rPr>
      </w:pPr>
    </w:p>
    <w:p w14:paraId="6B0C0281" w14:textId="77777777" w:rsidR="008B081D" w:rsidRPr="00282BFE" w:rsidRDefault="008B081D" w:rsidP="008B081D">
      <w:pPr>
        <w:ind w:right="12"/>
        <w:rPr>
          <w:rFonts w:asciiTheme="minorHAnsi" w:hAnsiTheme="minorHAnsi"/>
          <w:i/>
          <w:sz w:val="24"/>
        </w:rPr>
      </w:pPr>
    </w:p>
    <w:p w14:paraId="46C8EDB9" w14:textId="0AACD9DA" w:rsidR="008B081D" w:rsidRDefault="00583147" w:rsidP="008B081D">
      <w:pPr>
        <w:rPr>
          <w:rFonts w:asciiTheme="minorHAnsi" w:hAnsiTheme="minorHAnsi"/>
          <w:b/>
          <w:i/>
          <w:sz w:val="24"/>
        </w:rPr>
      </w:pPr>
      <w:r>
        <w:rPr>
          <w:rFonts w:asciiTheme="minorHAnsi" w:hAnsiTheme="minorHAnsi"/>
          <w:b/>
          <w:i/>
          <w:sz w:val="24"/>
        </w:rPr>
        <w:t>Engineering &amp; Technology</w:t>
      </w:r>
    </w:p>
    <w:p w14:paraId="2554AA8D" w14:textId="77777777" w:rsidR="008B081D" w:rsidRDefault="008B081D" w:rsidP="008B081D">
      <w:pPr>
        <w:rPr>
          <w:rFonts w:asciiTheme="minorHAnsi" w:hAnsiTheme="minorHAnsi"/>
          <w:b/>
          <w:i/>
          <w:sz w:val="24"/>
        </w:rPr>
      </w:pPr>
    </w:p>
    <w:p w14:paraId="3C1F9C9E" w14:textId="4A3FFF34" w:rsidR="008B081D" w:rsidRPr="005F377C" w:rsidRDefault="00583147" w:rsidP="008B081D">
      <w:pPr>
        <w:jc w:val="center"/>
        <w:rPr>
          <w:rFonts w:asciiTheme="minorHAnsi" w:hAnsiTheme="minorHAnsi"/>
          <w:b/>
          <w:i/>
          <w:sz w:val="24"/>
        </w:rPr>
      </w:pPr>
      <w:r>
        <w:rPr>
          <w:rFonts w:asciiTheme="minorHAnsi" w:hAnsiTheme="minorHAnsi"/>
          <w:b/>
          <w:i/>
          <w:noProof/>
          <w:sz w:val="24"/>
        </w:rPr>
        <w:drawing>
          <wp:inline distT="0" distB="0" distL="0" distR="0" wp14:anchorId="142E524C" wp14:editId="3C6FBA65">
            <wp:extent cx="2596896" cy="5925312"/>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Engineering &amp; Technology Graduate KF.JPG"/>
                    <pic:cNvPicPr/>
                  </pic:nvPicPr>
                  <pic:blipFill>
                    <a:blip r:embed="rId15">
                      <a:extLst>
                        <a:ext uri="{28A0092B-C50C-407E-A947-70E740481C1C}">
                          <a14:useLocalDpi xmlns:a14="http://schemas.microsoft.com/office/drawing/2010/main" val="0"/>
                        </a:ext>
                      </a:extLst>
                    </a:blip>
                    <a:stretch>
                      <a:fillRect/>
                    </a:stretch>
                  </pic:blipFill>
                  <pic:spPr>
                    <a:xfrm>
                      <a:off x="0" y="0"/>
                      <a:ext cx="2596896" cy="5925312"/>
                    </a:xfrm>
                    <a:prstGeom prst="rect">
                      <a:avLst/>
                    </a:prstGeom>
                  </pic:spPr>
                </pic:pic>
              </a:graphicData>
            </a:graphic>
          </wp:inline>
        </w:drawing>
      </w:r>
    </w:p>
    <w:p w14:paraId="23C8387C" w14:textId="77777777" w:rsidR="008B081D" w:rsidRPr="00282BFE" w:rsidRDefault="008B081D" w:rsidP="008B081D">
      <w:pPr>
        <w:ind w:right="12"/>
        <w:rPr>
          <w:rFonts w:asciiTheme="minorHAnsi" w:hAnsiTheme="minorHAnsi"/>
          <w:i/>
          <w:sz w:val="24"/>
        </w:rPr>
      </w:pPr>
    </w:p>
    <w:p w14:paraId="532BB3C7" w14:textId="77777777" w:rsidR="002C4F55" w:rsidRPr="00282BFE" w:rsidRDefault="002C4F55" w:rsidP="002C4F55">
      <w:pPr>
        <w:ind w:right="12"/>
        <w:jc w:val="center"/>
        <w:rPr>
          <w:rFonts w:asciiTheme="minorHAnsi" w:hAnsiTheme="minorHAnsi"/>
          <w:i/>
          <w:sz w:val="24"/>
        </w:rPr>
      </w:pPr>
      <w:r w:rsidRPr="00282BFE">
        <w:rPr>
          <w:rFonts w:asciiTheme="minorHAnsi" w:hAnsiTheme="minorHAnsi"/>
          <w:b/>
          <w:sz w:val="24"/>
        </w:rPr>
        <w:br w:type="page"/>
      </w:r>
    </w:p>
    <w:p w14:paraId="3F02EC21" w14:textId="254E8AF0" w:rsidR="002C4F55" w:rsidRPr="00282BFE" w:rsidRDefault="002C4F55" w:rsidP="002C4F55">
      <w:pPr>
        <w:rPr>
          <w:rFonts w:asciiTheme="minorHAnsi" w:hAnsiTheme="minorHAnsi"/>
          <w:b/>
          <w:sz w:val="24"/>
        </w:rPr>
      </w:pPr>
    </w:p>
    <w:p w14:paraId="6E29935D" w14:textId="2EC4F87F" w:rsidR="00F62CAB" w:rsidRPr="002C4F55" w:rsidRDefault="00F62CAB" w:rsidP="00F62CAB">
      <w:pPr>
        <w:pStyle w:val="Heading2"/>
        <w:shd w:val="clear" w:color="auto" w:fill="EAF1DD" w:themeFill="accent3" w:themeFillTint="33"/>
        <w:jc w:val="center"/>
        <w:rPr>
          <w:lang w:val="en-US"/>
        </w:rPr>
      </w:pPr>
      <w:bookmarkStart w:id="135" w:name="_Toc421521629"/>
      <w:bookmarkStart w:id="136" w:name="_Toc322438453"/>
      <w:bookmarkStart w:id="137" w:name="_Toc322440217"/>
      <w:bookmarkStart w:id="138" w:name="_Toc322440300"/>
      <w:r w:rsidRPr="00AB21B1">
        <w:t>Oregon Tech</w:t>
      </w:r>
      <w:r>
        <w:t>–</w:t>
      </w:r>
      <w:r>
        <w:rPr>
          <w:lang w:val="en-US"/>
        </w:rPr>
        <w:t xml:space="preserve">Shared Campus Programs – </w:t>
      </w:r>
      <w:bookmarkEnd w:id="135"/>
      <w:r w:rsidR="00A37005">
        <w:rPr>
          <w:lang w:val="en-US"/>
        </w:rPr>
        <w:t>Summer 2018</w:t>
      </w:r>
    </w:p>
    <w:bookmarkEnd w:id="136"/>
    <w:bookmarkEnd w:id="137"/>
    <w:bookmarkEnd w:id="138"/>
    <w:p w14:paraId="4C074DC5" w14:textId="77777777" w:rsidR="00F62CAB" w:rsidRDefault="00F62CAB" w:rsidP="002C4F55">
      <w:pPr>
        <w:ind w:right="12"/>
        <w:jc w:val="center"/>
        <w:rPr>
          <w:rFonts w:asciiTheme="minorHAnsi" w:hAnsiTheme="minorHAnsi"/>
          <w:b/>
          <w:sz w:val="24"/>
        </w:rPr>
      </w:pPr>
    </w:p>
    <w:p w14:paraId="4F3F697D"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4EBEC1F7" w14:textId="557DE478" w:rsidR="002C4F55" w:rsidRPr="00F62CAB" w:rsidRDefault="00A37005" w:rsidP="00F62CAB">
      <w:pPr>
        <w:pStyle w:val="Heading3"/>
        <w:jc w:val="left"/>
        <w:rPr>
          <w:i/>
          <w:sz w:val="24"/>
        </w:rPr>
      </w:pPr>
      <w:bookmarkStart w:id="139" w:name="_Toc322438454"/>
      <w:bookmarkStart w:id="140" w:name="_Toc421521630"/>
      <w:r>
        <w:rPr>
          <w:i/>
          <w:sz w:val="24"/>
        </w:rPr>
        <w:t>Medical</w:t>
      </w:r>
      <w:r w:rsidR="002C4F55" w:rsidRPr="00F62CAB">
        <w:rPr>
          <w:i/>
          <w:sz w:val="24"/>
        </w:rPr>
        <w:t xml:space="preserve"> Lab Science–OHSU</w:t>
      </w:r>
      <w:bookmarkEnd w:id="139"/>
      <w:bookmarkEnd w:id="140"/>
      <w:r w:rsidR="002C4F55" w:rsidRPr="00F62CAB">
        <w:rPr>
          <w:i/>
          <w:sz w:val="24"/>
        </w:rPr>
        <w:t xml:space="preserve"> </w:t>
      </w:r>
    </w:p>
    <w:p w14:paraId="07240D9B" w14:textId="6B8CEC52" w:rsidR="002C4F55" w:rsidRPr="006F3805" w:rsidRDefault="006B43B4" w:rsidP="002C4F55">
      <w:r>
        <w:rPr>
          <w:rFonts w:asciiTheme="minorHAnsi" w:hAnsiTheme="minorHAnsi"/>
          <w:noProof/>
          <w:sz w:val="24"/>
        </w:rPr>
        <w:drawing>
          <wp:anchor distT="0" distB="0" distL="114300" distR="114300" simplePos="0" relativeHeight="251661312" behindDoc="0" locked="0" layoutInCell="1" allowOverlap="1" wp14:anchorId="5B71CEB9" wp14:editId="1D6DEF1B">
            <wp:simplePos x="0" y="0"/>
            <wp:positionH relativeFrom="column">
              <wp:posOffset>-66675</wp:posOffset>
            </wp:positionH>
            <wp:positionV relativeFrom="paragraph">
              <wp:posOffset>156845</wp:posOffset>
            </wp:positionV>
            <wp:extent cx="7150100" cy="6071235"/>
            <wp:effectExtent l="0" t="0" r="0" b="5715"/>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MLS Summer.JPG"/>
                    <pic:cNvPicPr/>
                  </pic:nvPicPr>
                  <pic:blipFill>
                    <a:blip r:embed="rId23">
                      <a:extLst>
                        <a:ext uri="{28A0092B-C50C-407E-A947-70E740481C1C}">
                          <a14:useLocalDpi xmlns:a14="http://schemas.microsoft.com/office/drawing/2010/main" val="0"/>
                        </a:ext>
                      </a:extLst>
                    </a:blip>
                    <a:stretch>
                      <a:fillRect/>
                    </a:stretch>
                  </pic:blipFill>
                  <pic:spPr>
                    <a:xfrm>
                      <a:off x="0" y="0"/>
                      <a:ext cx="7150100" cy="6071235"/>
                    </a:xfrm>
                    <a:prstGeom prst="rect">
                      <a:avLst/>
                    </a:prstGeom>
                  </pic:spPr>
                </pic:pic>
              </a:graphicData>
            </a:graphic>
          </wp:anchor>
        </w:drawing>
      </w:r>
    </w:p>
    <w:p w14:paraId="0D2AA3DE" w14:textId="29CE5483" w:rsidR="002C4F55" w:rsidRPr="00282BFE" w:rsidRDefault="002C4F55" w:rsidP="006B43B4">
      <w:pPr>
        <w:rPr>
          <w:rFonts w:asciiTheme="minorHAnsi" w:hAnsiTheme="minorHAnsi"/>
          <w:sz w:val="24"/>
        </w:rPr>
      </w:pPr>
    </w:p>
    <w:p w14:paraId="37DD23BC" w14:textId="77777777" w:rsidR="002C4F55" w:rsidRDefault="002C4F55" w:rsidP="002C4F55">
      <w:pPr>
        <w:ind w:right="12"/>
        <w:jc w:val="center"/>
        <w:rPr>
          <w:rFonts w:asciiTheme="minorHAnsi" w:hAnsiTheme="minorHAnsi"/>
          <w:b/>
          <w:sz w:val="24"/>
        </w:rPr>
      </w:pPr>
      <w:r w:rsidRPr="00282BFE">
        <w:rPr>
          <w:rFonts w:asciiTheme="minorHAnsi" w:hAnsiTheme="minorHAnsi"/>
          <w:b/>
          <w:sz w:val="24"/>
        </w:rPr>
        <w:br w:type="page"/>
      </w:r>
    </w:p>
    <w:p w14:paraId="39B0C3F5" w14:textId="59B2C29C" w:rsidR="002C4F55" w:rsidRPr="002A0AD3" w:rsidRDefault="002C4F55" w:rsidP="002C4F55">
      <w:pPr>
        <w:shd w:val="clear" w:color="auto" w:fill="EAF1DD" w:themeFill="accent3" w:themeFillTint="33"/>
        <w:ind w:right="12"/>
        <w:jc w:val="center"/>
        <w:rPr>
          <w:rFonts w:asciiTheme="minorHAnsi" w:hAnsiTheme="minorHAnsi"/>
          <w:b/>
          <w:sz w:val="28"/>
        </w:rPr>
      </w:pPr>
      <w:r w:rsidRPr="002A0AD3">
        <w:rPr>
          <w:rFonts w:asciiTheme="minorHAnsi" w:hAnsiTheme="minorHAnsi"/>
          <w:b/>
          <w:sz w:val="28"/>
        </w:rPr>
        <w:lastRenderedPageBreak/>
        <w:t>Oregon Tech</w:t>
      </w:r>
      <w:r w:rsidR="00F62CAB">
        <w:rPr>
          <w:rFonts w:asciiTheme="minorHAnsi" w:hAnsiTheme="minorHAnsi"/>
          <w:b/>
          <w:sz w:val="28"/>
        </w:rPr>
        <w:t>-Shared Campus Programs</w:t>
      </w:r>
      <w:r w:rsidR="003F5D16">
        <w:rPr>
          <w:rFonts w:asciiTheme="minorHAnsi" w:hAnsiTheme="minorHAnsi"/>
          <w:b/>
          <w:sz w:val="28"/>
        </w:rPr>
        <w:t xml:space="preserve"> – </w:t>
      </w:r>
      <w:r w:rsidR="00A37005">
        <w:rPr>
          <w:rFonts w:asciiTheme="minorHAnsi" w:hAnsiTheme="minorHAnsi"/>
          <w:b/>
          <w:sz w:val="28"/>
        </w:rPr>
        <w:t>Summer 2018</w:t>
      </w:r>
    </w:p>
    <w:p w14:paraId="4D5A4D9E" w14:textId="77777777" w:rsidR="002C4F55" w:rsidRDefault="002C4F55" w:rsidP="002C4F55">
      <w:pPr>
        <w:jc w:val="center"/>
        <w:rPr>
          <w:b/>
          <w:sz w:val="28"/>
        </w:rPr>
      </w:pPr>
      <w:bookmarkStart w:id="141" w:name="_Toc362356564"/>
      <w:bookmarkStart w:id="142" w:name="_Toc362424900"/>
    </w:p>
    <w:bookmarkEnd w:id="141"/>
    <w:bookmarkEnd w:id="142"/>
    <w:p w14:paraId="1C608868"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3E5DC7BC" w14:textId="77777777" w:rsidR="002C4F55" w:rsidRPr="00F62CAB" w:rsidRDefault="002C4F55" w:rsidP="00F62CAB">
      <w:pPr>
        <w:pStyle w:val="Heading3"/>
        <w:jc w:val="left"/>
        <w:rPr>
          <w:i/>
          <w:sz w:val="24"/>
        </w:rPr>
      </w:pPr>
      <w:bookmarkStart w:id="143" w:name="_Toc322438455"/>
      <w:bookmarkStart w:id="144" w:name="_Toc421521631"/>
      <w:r w:rsidRPr="00F62CAB">
        <w:rPr>
          <w:i/>
          <w:sz w:val="24"/>
        </w:rPr>
        <w:t>Paramedic Education–OHSU</w:t>
      </w:r>
      <w:bookmarkEnd w:id="143"/>
      <w:bookmarkEnd w:id="144"/>
    </w:p>
    <w:p w14:paraId="2EC45BDA" w14:textId="6C91E525" w:rsidR="002C4F55" w:rsidRDefault="006B43B4" w:rsidP="002C4F55">
      <w:pPr>
        <w:rPr>
          <w:rFonts w:asciiTheme="minorHAnsi" w:hAnsiTheme="minorHAnsi"/>
          <w:noProof/>
          <w:sz w:val="24"/>
        </w:rPr>
      </w:pPr>
      <w:r>
        <w:rPr>
          <w:rFonts w:asciiTheme="minorHAnsi" w:hAnsiTheme="minorHAnsi"/>
          <w:noProof/>
          <w:sz w:val="24"/>
        </w:rPr>
        <w:drawing>
          <wp:anchor distT="0" distB="0" distL="114300" distR="114300" simplePos="0" relativeHeight="251662336" behindDoc="0" locked="0" layoutInCell="1" allowOverlap="1" wp14:anchorId="3D0F4CB6" wp14:editId="47F2E30F">
            <wp:simplePos x="0" y="0"/>
            <wp:positionH relativeFrom="column">
              <wp:posOffset>-85725</wp:posOffset>
            </wp:positionH>
            <wp:positionV relativeFrom="paragraph">
              <wp:posOffset>188595</wp:posOffset>
            </wp:positionV>
            <wp:extent cx="7150100" cy="6062345"/>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EMS Summer.JPG"/>
                    <pic:cNvPicPr/>
                  </pic:nvPicPr>
                  <pic:blipFill>
                    <a:blip r:embed="rId24">
                      <a:extLst>
                        <a:ext uri="{28A0092B-C50C-407E-A947-70E740481C1C}">
                          <a14:useLocalDpi xmlns:a14="http://schemas.microsoft.com/office/drawing/2010/main" val="0"/>
                        </a:ext>
                      </a:extLst>
                    </a:blip>
                    <a:stretch>
                      <a:fillRect/>
                    </a:stretch>
                  </pic:blipFill>
                  <pic:spPr>
                    <a:xfrm>
                      <a:off x="0" y="0"/>
                      <a:ext cx="7150100" cy="6062345"/>
                    </a:xfrm>
                    <a:prstGeom prst="rect">
                      <a:avLst/>
                    </a:prstGeom>
                  </pic:spPr>
                </pic:pic>
              </a:graphicData>
            </a:graphic>
          </wp:anchor>
        </w:drawing>
      </w:r>
    </w:p>
    <w:p w14:paraId="3E048AE5" w14:textId="3E3E06A6" w:rsidR="002C4F55" w:rsidRPr="00282BFE" w:rsidRDefault="002C4F55" w:rsidP="002C4F55">
      <w:pPr>
        <w:jc w:val="center"/>
        <w:rPr>
          <w:rFonts w:asciiTheme="minorHAnsi" w:hAnsiTheme="minorHAnsi"/>
          <w:sz w:val="24"/>
        </w:rPr>
      </w:pPr>
    </w:p>
    <w:p w14:paraId="4F513EB8" w14:textId="77777777" w:rsidR="002C4F55" w:rsidRPr="00282BFE" w:rsidRDefault="002C4F55" w:rsidP="002C4F55">
      <w:pPr>
        <w:rPr>
          <w:rFonts w:asciiTheme="minorHAnsi" w:hAnsiTheme="minorHAnsi"/>
          <w:sz w:val="24"/>
        </w:rPr>
      </w:pPr>
    </w:p>
    <w:p w14:paraId="7ADFF647" w14:textId="77777777" w:rsidR="002C4F55" w:rsidRDefault="002C4F55" w:rsidP="002C4F55">
      <w:pPr>
        <w:ind w:right="12"/>
        <w:jc w:val="center"/>
        <w:rPr>
          <w:rFonts w:asciiTheme="minorHAnsi" w:hAnsiTheme="minorHAnsi"/>
          <w:sz w:val="24"/>
        </w:rPr>
      </w:pPr>
      <w:r w:rsidRPr="00282BFE">
        <w:rPr>
          <w:rFonts w:asciiTheme="minorHAnsi" w:hAnsiTheme="minorHAnsi"/>
          <w:sz w:val="24"/>
        </w:rPr>
        <w:t xml:space="preserve"> </w:t>
      </w:r>
      <w:r w:rsidRPr="00282BFE">
        <w:rPr>
          <w:rFonts w:asciiTheme="minorHAnsi" w:hAnsiTheme="minorHAnsi"/>
          <w:sz w:val="24"/>
        </w:rPr>
        <w:br w:type="page"/>
      </w:r>
    </w:p>
    <w:p w14:paraId="57BF2CF2" w14:textId="1FBCC182" w:rsidR="002C4F55" w:rsidRPr="00282BFE" w:rsidRDefault="002C4F55" w:rsidP="002C4F55">
      <w:pPr>
        <w:rPr>
          <w:b/>
        </w:rPr>
      </w:pPr>
    </w:p>
    <w:p w14:paraId="5C2C1A6D" w14:textId="00E72F5E" w:rsidR="002C4F55" w:rsidRPr="002A0AD3" w:rsidRDefault="002C4F55" w:rsidP="002C4F55">
      <w:pPr>
        <w:pStyle w:val="Heading2"/>
        <w:shd w:val="clear" w:color="auto" w:fill="EAF1DD" w:themeFill="accent3" w:themeFillTint="33"/>
        <w:ind w:right="12"/>
        <w:jc w:val="center"/>
        <w:rPr>
          <w:rFonts w:asciiTheme="minorHAnsi" w:hAnsiTheme="minorHAnsi"/>
          <w:sz w:val="28"/>
          <w:szCs w:val="24"/>
          <w:lang w:val="en-US"/>
        </w:rPr>
      </w:pPr>
      <w:bookmarkStart w:id="145" w:name="_Toc421521633"/>
      <w:bookmarkStart w:id="146" w:name="_Toc322438457"/>
      <w:bookmarkStart w:id="147" w:name="_Toc322440218"/>
      <w:bookmarkStart w:id="148" w:name="_Toc322440301"/>
      <w:r w:rsidRPr="002A0AD3">
        <w:rPr>
          <w:rFonts w:asciiTheme="minorHAnsi" w:hAnsiTheme="minorHAnsi"/>
          <w:sz w:val="28"/>
          <w:szCs w:val="24"/>
          <w:lang w:val="en-US"/>
        </w:rPr>
        <w:t>Oregon Tech–Wilsonville</w:t>
      </w:r>
      <w:r w:rsidR="002B2713">
        <w:rPr>
          <w:rFonts w:asciiTheme="minorHAnsi" w:hAnsiTheme="minorHAnsi"/>
          <w:sz w:val="28"/>
          <w:szCs w:val="24"/>
          <w:lang w:val="en-US"/>
        </w:rPr>
        <w:t xml:space="preserve"> – </w:t>
      </w:r>
      <w:bookmarkEnd w:id="145"/>
      <w:r w:rsidR="00A37005">
        <w:rPr>
          <w:rFonts w:asciiTheme="minorHAnsi" w:hAnsiTheme="minorHAnsi"/>
          <w:sz w:val="28"/>
          <w:szCs w:val="24"/>
          <w:lang w:val="en-US"/>
        </w:rPr>
        <w:t>Summer 2018</w:t>
      </w:r>
    </w:p>
    <w:p w14:paraId="22FEB1A0" w14:textId="77777777" w:rsidR="002C4F55" w:rsidRPr="005545FC" w:rsidRDefault="002C4F55" w:rsidP="002C4F55">
      <w:pPr>
        <w:pStyle w:val="Heading3"/>
      </w:pPr>
      <w:bookmarkStart w:id="149" w:name="_Toc421521634"/>
      <w:r w:rsidRPr="005545FC">
        <w:t>Base Tuition</w:t>
      </w:r>
      <w:bookmarkEnd w:id="149"/>
      <w:r w:rsidRPr="005545FC">
        <w:t xml:space="preserve"> </w:t>
      </w:r>
    </w:p>
    <w:p w14:paraId="1FF0FB6D"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7AEA5631" w14:textId="77777777" w:rsidR="002C4F55" w:rsidRPr="00282BFE" w:rsidRDefault="002C4F55" w:rsidP="002C4F55">
      <w:pPr>
        <w:ind w:right="12"/>
        <w:jc w:val="center"/>
        <w:rPr>
          <w:rFonts w:asciiTheme="minorHAnsi" w:hAnsiTheme="minorHAnsi"/>
          <w:b/>
          <w:color w:val="FF0000"/>
          <w:sz w:val="24"/>
        </w:rPr>
      </w:pPr>
    </w:p>
    <w:p w14:paraId="0AF98E97" w14:textId="77777777" w:rsidR="002C4F55" w:rsidRDefault="002C4F55" w:rsidP="002C4F55">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22DFE2D7" w14:textId="77777777" w:rsidR="003F5D16" w:rsidRPr="00282BFE" w:rsidRDefault="003F5D16" w:rsidP="002C4F55">
      <w:pPr>
        <w:ind w:right="12"/>
        <w:jc w:val="both"/>
        <w:rPr>
          <w:rFonts w:asciiTheme="minorHAnsi" w:hAnsiTheme="minorHAnsi"/>
          <w:sz w:val="24"/>
        </w:rPr>
      </w:pPr>
    </w:p>
    <w:p w14:paraId="020E1D7D" w14:textId="77777777" w:rsidR="002C4F55" w:rsidRPr="00282BFE" w:rsidRDefault="002C4F55" w:rsidP="002C4F55">
      <w:pPr>
        <w:ind w:right="12"/>
        <w:jc w:val="center"/>
        <w:rPr>
          <w:rFonts w:asciiTheme="minorHAnsi" w:hAnsiTheme="minorHAnsi"/>
          <w:b/>
          <w:sz w:val="24"/>
        </w:rPr>
      </w:pPr>
    </w:p>
    <w:p w14:paraId="728DED8B" w14:textId="377C77DA" w:rsidR="002C4F55" w:rsidRDefault="00501173" w:rsidP="002C4F55">
      <w:pPr>
        <w:ind w:right="12"/>
        <w:jc w:val="center"/>
        <w:rPr>
          <w:rFonts w:asciiTheme="minorHAnsi" w:hAnsiTheme="minorHAnsi"/>
          <w:sz w:val="24"/>
        </w:rPr>
      </w:pPr>
      <w:r>
        <w:rPr>
          <w:noProof/>
        </w:rPr>
        <w:drawing>
          <wp:inline distT="0" distB="0" distL="0" distR="0" wp14:anchorId="3D0EBE3D" wp14:editId="474D0B90">
            <wp:extent cx="4552950" cy="56197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Base Tuition.JPG"/>
                    <pic:cNvPicPr/>
                  </pic:nvPicPr>
                  <pic:blipFill>
                    <a:blip r:embed="rId12">
                      <a:extLst>
                        <a:ext uri="{28A0092B-C50C-407E-A947-70E740481C1C}">
                          <a14:useLocalDpi xmlns:a14="http://schemas.microsoft.com/office/drawing/2010/main" val="0"/>
                        </a:ext>
                      </a:extLst>
                    </a:blip>
                    <a:stretch>
                      <a:fillRect/>
                    </a:stretch>
                  </pic:blipFill>
                  <pic:spPr>
                    <a:xfrm>
                      <a:off x="0" y="0"/>
                      <a:ext cx="4552950" cy="5619750"/>
                    </a:xfrm>
                    <a:prstGeom prst="rect">
                      <a:avLst/>
                    </a:prstGeom>
                  </pic:spPr>
                </pic:pic>
              </a:graphicData>
            </a:graphic>
          </wp:inline>
        </w:drawing>
      </w:r>
      <w:r w:rsidR="00E76E86" w:rsidRPr="00E76E86">
        <w:t xml:space="preserve"> </w:t>
      </w:r>
      <w:r w:rsidR="002C4F55" w:rsidRPr="00282BFE">
        <w:rPr>
          <w:rFonts w:asciiTheme="minorHAnsi" w:hAnsiTheme="minorHAnsi"/>
          <w:sz w:val="24"/>
        </w:rPr>
        <w:br w:type="page"/>
      </w:r>
    </w:p>
    <w:p w14:paraId="49DEE2FC" w14:textId="4010EBAF" w:rsidR="002C4F55" w:rsidRPr="002A0AD3" w:rsidRDefault="002C4F55" w:rsidP="002C4F55">
      <w:pPr>
        <w:shd w:val="clear" w:color="auto" w:fill="EAF1DD" w:themeFill="accent3" w:themeFillTint="33"/>
        <w:ind w:right="12"/>
        <w:jc w:val="center"/>
        <w:rPr>
          <w:rFonts w:asciiTheme="minorHAnsi" w:hAnsiTheme="minorHAnsi"/>
          <w:b/>
          <w:sz w:val="28"/>
        </w:rPr>
      </w:pPr>
      <w:r w:rsidRPr="002A0AD3">
        <w:rPr>
          <w:rFonts w:asciiTheme="minorHAnsi" w:hAnsiTheme="minorHAnsi"/>
          <w:b/>
          <w:sz w:val="28"/>
        </w:rPr>
        <w:lastRenderedPageBreak/>
        <w:t>Oregon Tech–Wilsonville</w:t>
      </w:r>
      <w:r w:rsidR="003F5D16">
        <w:rPr>
          <w:rFonts w:asciiTheme="minorHAnsi" w:hAnsiTheme="minorHAnsi"/>
          <w:b/>
          <w:sz w:val="28"/>
        </w:rPr>
        <w:t xml:space="preserve"> – </w:t>
      </w:r>
      <w:r w:rsidR="00A37005">
        <w:rPr>
          <w:rFonts w:asciiTheme="minorHAnsi" w:hAnsiTheme="minorHAnsi"/>
          <w:b/>
          <w:sz w:val="28"/>
        </w:rPr>
        <w:t>Summer 2018</w:t>
      </w:r>
    </w:p>
    <w:p w14:paraId="06B6C746" w14:textId="77777777" w:rsidR="002C4F55" w:rsidRPr="005545FC" w:rsidRDefault="002C4F55" w:rsidP="002C4F55">
      <w:pPr>
        <w:pStyle w:val="Heading3"/>
      </w:pPr>
      <w:bookmarkStart w:id="150" w:name="_Toc421521635"/>
      <w:r w:rsidRPr="005545FC">
        <w:t>Mandatory Fees</w:t>
      </w:r>
      <w:bookmarkEnd w:id="150"/>
    </w:p>
    <w:p w14:paraId="2D078739"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14DB516E" w14:textId="77777777" w:rsidR="002C4F55" w:rsidRPr="00282BFE" w:rsidRDefault="002C4F55" w:rsidP="002C4F55">
      <w:pPr>
        <w:ind w:right="12"/>
        <w:jc w:val="center"/>
        <w:rPr>
          <w:rFonts w:asciiTheme="minorHAnsi" w:hAnsiTheme="minorHAnsi"/>
          <w:b/>
          <w:sz w:val="24"/>
        </w:rPr>
      </w:pPr>
    </w:p>
    <w:p w14:paraId="3CCF9385" w14:textId="77777777" w:rsidR="002C4F55" w:rsidRPr="00282BFE" w:rsidRDefault="002C4F55" w:rsidP="002C4F55">
      <w:pPr>
        <w:ind w:right="12"/>
        <w:jc w:val="both"/>
        <w:rPr>
          <w:rFonts w:asciiTheme="minorHAnsi" w:hAnsiTheme="minorHAnsi"/>
          <w:i/>
          <w:sz w:val="24"/>
        </w:rPr>
      </w:pPr>
      <w:r w:rsidRPr="00282BFE">
        <w:rPr>
          <w:rFonts w:asciiTheme="minorHAnsi" w:hAnsiTheme="minorHAnsi"/>
          <w:i/>
          <w:sz w:val="24"/>
        </w:rPr>
        <w:t xml:space="preserve">The mandatory fees included in the following schedule are applicable to all </w:t>
      </w:r>
      <w:r>
        <w:rPr>
          <w:rFonts w:asciiTheme="minorHAnsi" w:hAnsiTheme="minorHAnsi"/>
          <w:i/>
          <w:sz w:val="24"/>
        </w:rPr>
        <w:t>Oregon Tech - Wilsonville</w:t>
      </w:r>
      <w:r w:rsidRPr="00282BFE">
        <w:rPr>
          <w:rFonts w:asciiTheme="minorHAnsi" w:hAnsiTheme="minorHAnsi"/>
          <w:i/>
          <w:sz w:val="24"/>
        </w:rPr>
        <w:t xml:space="preserve"> Campus students and should be added to the applicable tuition charges (based on class-level and total credits) to determine total tuition and fees. In addition, institutions may charge additional fees for specific courses (lab fees, etc.) and services (parking, </w:t>
      </w:r>
      <w:r>
        <w:rPr>
          <w:rFonts w:asciiTheme="minorHAnsi" w:hAnsiTheme="minorHAnsi"/>
          <w:i/>
          <w:sz w:val="24"/>
        </w:rPr>
        <w:t xml:space="preserve">etc.) </w:t>
      </w:r>
      <w:r w:rsidRPr="00282BFE">
        <w:rPr>
          <w:rFonts w:asciiTheme="minorHAnsi" w:hAnsiTheme="minorHAnsi"/>
          <w:i/>
          <w:sz w:val="24"/>
        </w:rPr>
        <w:t xml:space="preserve">Contact the campus directly for information regarding any additional fees. </w:t>
      </w:r>
    </w:p>
    <w:p w14:paraId="025B35C1" w14:textId="43A53C11" w:rsidR="002C4F55" w:rsidRPr="00282BFE" w:rsidRDefault="00F37A8E" w:rsidP="002C4F55">
      <w:pPr>
        <w:ind w:right="12"/>
        <w:jc w:val="both"/>
        <w:rPr>
          <w:rFonts w:asciiTheme="minorHAnsi" w:hAnsiTheme="minorHAnsi"/>
          <w:i/>
          <w:sz w:val="24"/>
        </w:rPr>
      </w:pPr>
      <w:r>
        <w:rPr>
          <w:rFonts w:asciiTheme="minorHAnsi" w:hAnsiTheme="minorHAnsi"/>
          <w:b/>
          <w:noProof/>
          <w:sz w:val="24"/>
        </w:rPr>
        <w:drawing>
          <wp:anchor distT="0" distB="0" distL="114300" distR="114300" simplePos="0" relativeHeight="251663360" behindDoc="0" locked="0" layoutInCell="1" allowOverlap="1" wp14:anchorId="31E9397C" wp14:editId="6903D222">
            <wp:simplePos x="0" y="0"/>
            <wp:positionH relativeFrom="column">
              <wp:posOffset>-371475</wp:posOffset>
            </wp:positionH>
            <wp:positionV relativeFrom="paragraph">
              <wp:posOffset>186055</wp:posOffset>
            </wp:positionV>
            <wp:extent cx="7552944" cy="3758184"/>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Mandatory Fees WLV Summer.JPG"/>
                    <pic:cNvPicPr/>
                  </pic:nvPicPr>
                  <pic:blipFill>
                    <a:blip r:embed="rId25">
                      <a:extLst>
                        <a:ext uri="{28A0092B-C50C-407E-A947-70E740481C1C}">
                          <a14:useLocalDpi xmlns:a14="http://schemas.microsoft.com/office/drawing/2010/main" val="0"/>
                        </a:ext>
                      </a:extLst>
                    </a:blip>
                    <a:stretch>
                      <a:fillRect/>
                    </a:stretch>
                  </pic:blipFill>
                  <pic:spPr>
                    <a:xfrm>
                      <a:off x="0" y="0"/>
                      <a:ext cx="7552944" cy="3758184"/>
                    </a:xfrm>
                    <a:prstGeom prst="rect">
                      <a:avLst/>
                    </a:prstGeom>
                  </pic:spPr>
                </pic:pic>
              </a:graphicData>
            </a:graphic>
            <wp14:sizeRelH relativeFrom="margin">
              <wp14:pctWidth>0</wp14:pctWidth>
            </wp14:sizeRelH>
            <wp14:sizeRelV relativeFrom="margin">
              <wp14:pctHeight>0</wp14:pctHeight>
            </wp14:sizeRelV>
          </wp:anchor>
        </w:drawing>
      </w:r>
    </w:p>
    <w:p w14:paraId="0029D7D4" w14:textId="1063118E" w:rsidR="002C4F55" w:rsidRPr="00282BFE" w:rsidRDefault="002C4F55" w:rsidP="002C4F55">
      <w:pPr>
        <w:ind w:right="12"/>
        <w:jc w:val="center"/>
        <w:rPr>
          <w:rFonts w:asciiTheme="minorHAnsi" w:hAnsiTheme="minorHAnsi"/>
          <w:b/>
          <w:sz w:val="24"/>
        </w:rPr>
      </w:pPr>
    </w:p>
    <w:p w14:paraId="604981A9" w14:textId="77777777" w:rsidR="002C4F55" w:rsidRPr="00282BFE" w:rsidRDefault="002C4F55" w:rsidP="002C4F55">
      <w:pPr>
        <w:ind w:right="12"/>
        <w:jc w:val="center"/>
        <w:rPr>
          <w:rFonts w:asciiTheme="minorHAnsi" w:hAnsiTheme="minorHAnsi"/>
          <w:b/>
          <w:sz w:val="24"/>
        </w:rPr>
      </w:pPr>
    </w:p>
    <w:p w14:paraId="7F001038" w14:textId="77777777" w:rsidR="008B081D" w:rsidRDefault="008B081D">
      <w:pPr>
        <w:rPr>
          <w:rFonts w:asciiTheme="minorHAnsi" w:hAnsiTheme="minorHAnsi"/>
          <w:b/>
          <w:sz w:val="28"/>
        </w:rPr>
      </w:pPr>
      <w:r>
        <w:rPr>
          <w:rFonts w:asciiTheme="minorHAnsi" w:hAnsiTheme="minorHAnsi"/>
          <w:b/>
          <w:sz w:val="28"/>
        </w:rPr>
        <w:br w:type="page"/>
      </w:r>
    </w:p>
    <w:p w14:paraId="407B3080" w14:textId="642E7DCD" w:rsidR="008B081D" w:rsidRPr="002A0AD3" w:rsidRDefault="008B081D" w:rsidP="008B081D">
      <w:pPr>
        <w:shd w:val="clear" w:color="auto" w:fill="EAF1DD" w:themeFill="accent3" w:themeFillTint="33"/>
        <w:ind w:right="12"/>
        <w:jc w:val="center"/>
        <w:rPr>
          <w:rFonts w:asciiTheme="minorHAnsi" w:hAnsiTheme="minorHAnsi"/>
          <w:sz w:val="28"/>
        </w:rPr>
      </w:pPr>
      <w:r w:rsidRPr="002A0AD3">
        <w:rPr>
          <w:rFonts w:asciiTheme="minorHAnsi" w:hAnsiTheme="minorHAnsi"/>
          <w:b/>
          <w:sz w:val="28"/>
        </w:rPr>
        <w:lastRenderedPageBreak/>
        <w:t>Oregon Tech–Wilsonville</w:t>
      </w:r>
      <w:r>
        <w:rPr>
          <w:rFonts w:asciiTheme="minorHAnsi" w:hAnsiTheme="minorHAnsi"/>
          <w:b/>
          <w:sz w:val="28"/>
        </w:rPr>
        <w:t xml:space="preserve"> – </w:t>
      </w:r>
      <w:r w:rsidR="00A37005">
        <w:rPr>
          <w:rFonts w:asciiTheme="minorHAnsi" w:hAnsiTheme="minorHAnsi"/>
          <w:b/>
          <w:sz w:val="28"/>
        </w:rPr>
        <w:t>Summer 2018</w:t>
      </w:r>
    </w:p>
    <w:p w14:paraId="51007797" w14:textId="77777777" w:rsidR="008B081D" w:rsidRPr="005545FC" w:rsidRDefault="008B081D" w:rsidP="008B081D">
      <w:pPr>
        <w:pStyle w:val="Heading3"/>
      </w:pPr>
      <w:r w:rsidRPr="005545FC">
        <w:t>Differential Programs</w:t>
      </w:r>
      <w:r>
        <w:t>—</w:t>
      </w:r>
      <w:r w:rsidRPr="005545FC">
        <w:t>Undergraduate</w:t>
      </w:r>
    </w:p>
    <w:p w14:paraId="19F8B493" w14:textId="77777777" w:rsidR="008B081D" w:rsidRPr="00282BFE" w:rsidRDefault="008B081D" w:rsidP="008B081D">
      <w:pPr>
        <w:ind w:right="12"/>
        <w:jc w:val="center"/>
        <w:rPr>
          <w:rFonts w:asciiTheme="minorHAnsi" w:hAnsiTheme="minorHAnsi"/>
          <w:b/>
          <w:sz w:val="24"/>
        </w:rPr>
      </w:pPr>
      <w:r w:rsidRPr="00282BFE">
        <w:rPr>
          <w:rFonts w:asciiTheme="minorHAnsi" w:hAnsiTheme="minorHAnsi"/>
          <w:b/>
          <w:sz w:val="24"/>
        </w:rPr>
        <w:t>Per Term</w:t>
      </w:r>
    </w:p>
    <w:p w14:paraId="75342146" w14:textId="77777777" w:rsidR="008B081D" w:rsidRPr="00282BFE" w:rsidRDefault="008B081D" w:rsidP="008B081D">
      <w:pPr>
        <w:ind w:right="12"/>
        <w:jc w:val="center"/>
        <w:rPr>
          <w:rFonts w:asciiTheme="minorHAnsi" w:hAnsiTheme="minorHAnsi"/>
          <w:b/>
          <w:color w:val="FF0000"/>
          <w:sz w:val="24"/>
        </w:rPr>
      </w:pPr>
    </w:p>
    <w:p w14:paraId="6BED6B45" w14:textId="77777777" w:rsidR="008B081D" w:rsidRDefault="008B081D" w:rsidP="008B081D">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0E392530" w14:textId="77777777" w:rsidR="008B081D" w:rsidRPr="00282BFE" w:rsidRDefault="008B081D" w:rsidP="008B081D">
      <w:pPr>
        <w:ind w:right="12"/>
        <w:jc w:val="both"/>
        <w:rPr>
          <w:rFonts w:asciiTheme="minorHAnsi" w:hAnsiTheme="minorHAnsi"/>
          <w:i/>
          <w:sz w:val="24"/>
        </w:rPr>
      </w:pPr>
    </w:p>
    <w:p w14:paraId="4154644D" w14:textId="77777777" w:rsidR="008B081D" w:rsidRPr="00282BFE" w:rsidRDefault="008B081D" w:rsidP="008B081D">
      <w:pPr>
        <w:ind w:right="12"/>
        <w:rPr>
          <w:rFonts w:asciiTheme="minorHAnsi" w:hAnsiTheme="minorHAnsi"/>
          <w:i/>
          <w:sz w:val="24"/>
        </w:rPr>
      </w:pPr>
    </w:p>
    <w:p w14:paraId="5D98AAD9" w14:textId="77777777" w:rsidR="008B081D" w:rsidRDefault="008B081D" w:rsidP="008B081D">
      <w:pPr>
        <w:rPr>
          <w:rFonts w:asciiTheme="minorHAnsi" w:hAnsiTheme="minorHAnsi"/>
          <w:b/>
          <w:i/>
          <w:sz w:val="24"/>
        </w:rPr>
      </w:pPr>
      <w:r>
        <w:rPr>
          <w:rFonts w:asciiTheme="minorHAnsi" w:hAnsiTheme="minorHAnsi"/>
          <w:b/>
          <w:i/>
          <w:sz w:val="24"/>
        </w:rPr>
        <w:t>Allied Health</w:t>
      </w:r>
    </w:p>
    <w:p w14:paraId="44DF2E9C" w14:textId="77777777" w:rsidR="008B081D" w:rsidRDefault="008B081D" w:rsidP="008B081D">
      <w:pPr>
        <w:rPr>
          <w:rFonts w:asciiTheme="minorHAnsi" w:hAnsiTheme="minorHAnsi"/>
          <w:b/>
          <w:i/>
          <w:sz w:val="24"/>
        </w:rPr>
      </w:pPr>
    </w:p>
    <w:p w14:paraId="410BE01A" w14:textId="06A54337" w:rsidR="008B081D" w:rsidRPr="005F377C" w:rsidRDefault="00412C0B" w:rsidP="008B081D">
      <w:pPr>
        <w:jc w:val="center"/>
        <w:rPr>
          <w:rFonts w:asciiTheme="minorHAnsi" w:hAnsiTheme="minorHAnsi"/>
          <w:b/>
          <w:i/>
          <w:sz w:val="24"/>
        </w:rPr>
      </w:pPr>
      <w:r>
        <w:rPr>
          <w:rFonts w:asciiTheme="minorHAnsi" w:hAnsiTheme="minorHAnsi"/>
          <w:b/>
          <w:i/>
          <w:noProof/>
          <w:sz w:val="24"/>
        </w:rPr>
        <w:drawing>
          <wp:inline distT="0" distB="0" distL="0" distR="0" wp14:anchorId="0D105B1E" wp14:editId="39C31060">
            <wp:extent cx="2619375" cy="5934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ied Health WLV.JPG"/>
                    <pic:cNvPicPr/>
                  </pic:nvPicPr>
                  <pic:blipFill>
                    <a:blip r:embed="rId19">
                      <a:extLst>
                        <a:ext uri="{28A0092B-C50C-407E-A947-70E740481C1C}">
                          <a14:useLocalDpi xmlns:a14="http://schemas.microsoft.com/office/drawing/2010/main" val="0"/>
                        </a:ext>
                      </a:extLst>
                    </a:blip>
                    <a:stretch>
                      <a:fillRect/>
                    </a:stretch>
                  </pic:blipFill>
                  <pic:spPr>
                    <a:xfrm>
                      <a:off x="0" y="0"/>
                      <a:ext cx="2619375" cy="5934075"/>
                    </a:xfrm>
                    <a:prstGeom prst="rect">
                      <a:avLst/>
                    </a:prstGeom>
                  </pic:spPr>
                </pic:pic>
              </a:graphicData>
            </a:graphic>
          </wp:inline>
        </w:drawing>
      </w:r>
    </w:p>
    <w:p w14:paraId="7FA11F95" w14:textId="77777777" w:rsidR="008B081D" w:rsidRPr="00282BFE" w:rsidRDefault="008B081D" w:rsidP="008B081D">
      <w:pPr>
        <w:ind w:right="12"/>
        <w:rPr>
          <w:rFonts w:asciiTheme="minorHAnsi" w:hAnsiTheme="minorHAnsi"/>
          <w:i/>
          <w:sz w:val="24"/>
        </w:rPr>
      </w:pPr>
    </w:p>
    <w:p w14:paraId="634584AC" w14:textId="77777777" w:rsidR="008B081D" w:rsidRDefault="008B081D">
      <w:pPr>
        <w:rPr>
          <w:rFonts w:asciiTheme="minorHAnsi" w:hAnsiTheme="minorHAnsi"/>
          <w:sz w:val="24"/>
        </w:rPr>
      </w:pPr>
    </w:p>
    <w:p w14:paraId="7CFFA9E6" w14:textId="77777777" w:rsidR="002C4F55" w:rsidRPr="00282BFE" w:rsidRDefault="002C4F55" w:rsidP="002C4F55">
      <w:pPr>
        <w:ind w:right="12"/>
        <w:rPr>
          <w:rFonts w:asciiTheme="minorHAnsi" w:hAnsiTheme="minorHAnsi"/>
          <w:sz w:val="24"/>
        </w:rPr>
      </w:pPr>
    </w:p>
    <w:p w14:paraId="7725E093" w14:textId="77777777" w:rsidR="008B081D" w:rsidRDefault="008B081D">
      <w:pPr>
        <w:rPr>
          <w:rFonts w:asciiTheme="minorHAnsi" w:hAnsiTheme="minorHAnsi"/>
          <w:b/>
          <w:sz w:val="28"/>
        </w:rPr>
      </w:pPr>
      <w:r>
        <w:rPr>
          <w:rFonts w:asciiTheme="minorHAnsi" w:hAnsiTheme="minorHAnsi"/>
          <w:b/>
          <w:sz w:val="28"/>
        </w:rPr>
        <w:br w:type="page"/>
      </w:r>
    </w:p>
    <w:p w14:paraId="032569B5" w14:textId="33614FB2" w:rsidR="002C4F55" w:rsidRPr="002A0AD3" w:rsidRDefault="002C4F55" w:rsidP="002C4F55">
      <w:pPr>
        <w:shd w:val="clear" w:color="auto" w:fill="EAF1DD" w:themeFill="accent3" w:themeFillTint="33"/>
        <w:ind w:right="12"/>
        <w:jc w:val="center"/>
        <w:rPr>
          <w:rFonts w:asciiTheme="minorHAnsi" w:hAnsiTheme="minorHAnsi"/>
          <w:sz w:val="28"/>
        </w:rPr>
      </w:pPr>
      <w:r w:rsidRPr="002A0AD3">
        <w:rPr>
          <w:rFonts w:asciiTheme="minorHAnsi" w:hAnsiTheme="minorHAnsi"/>
          <w:b/>
          <w:sz w:val="28"/>
        </w:rPr>
        <w:lastRenderedPageBreak/>
        <w:t>Oregon Tech–Wilsonville</w:t>
      </w:r>
      <w:r w:rsidR="002B2713">
        <w:rPr>
          <w:rFonts w:asciiTheme="minorHAnsi" w:hAnsiTheme="minorHAnsi"/>
          <w:b/>
          <w:sz w:val="28"/>
        </w:rPr>
        <w:t xml:space="preserve"> – </w:t>
      </w:r>
      <w:r w:rsidR="00A37005">
        <w:rPr>
          <w:rFonts w:asciiTheme="minorHAnsi" w:hAnsiTheme="minorHAnsi"/>
          <w:b/>
          <w:sz w:val="28"/>
        </w:rPr>
        <w:t>Summer 2018</w:t>
      </w:r>
    </w:p>
    <w:p w14:paraId="4D54F36F" w14:textId="77777777" w:rsidR="002C4F55" w:rsidRPr="005545FC" w:rsidRDefault="002C4F55" w:rsidP="002C4F55">
      <w:pPr>
        <w:pStyle w:val="Heading3"/>
      </w:pPr>
      <w:bookmarkStart w:id="151" w:name="_Toc421521636"/>
      <w:r w:rsidRPr="005545FC">
        <w:t>Differential Programs</w:t>
      </w:r>
      <w:r>
        <w:t>—</w:t>
      </w:r>
      <w:r w:rsidRPr="005545FC">
        <w:t>Undergraduate</w:t>
      </w:r>
      <w:bookmarkEnd w:id="151"/>
    </w:p>
    <w:p w14:paraId="4F0BC962" w14:textId="77777777" w:rsidR="002C4F55" w:rsidRPr="00282BFE" w:rsidRDefault="002C4F55" w:rsidP="002C4F55">
      <w:pPr>
        <w:ind w:right="12"/>
        <w:jc w:val="center"/>
        <w:rPr>
          <w:rFonts w:asciiTheme="minorHAnsi" w:hAnsiTheme="minorHAnsi"/>
          <w:b/>
          <w:sz w:val="24"/>
        </w:rPr>
      </w:pPr>
      <w:r w:rsidRPr="00282BFE">
        <w:rPr>
          <w:rFonts w:asciiTheme="minorHAnsi" w:hAnsiTheme="minorHAnsi"/>
          <w:b/>
          <w:sz w:val="24"/>
        </w:rPr>
        <w:t>Per Term</w:t>
      </w:r>
    </w:p>
    <w:p w14:paraId="1239A034" w14:textId="77777777" w:rsidR="002C4F55" w:rsidRPr="00282BFE" w:rsidRDefault="002C4F55" w:rsidP="002C4F55">
      <w:pPr>
        <w:ind w:right="12"/>
        <w:jc w:val="center"/>
        <w:rPr>
          <w:rFonts w:asciiTheme="minorHAnsi" w:hAnsiTheme="minorHAnsi"/>
          <w:b/>
          <w:color w:val="FF0000"/>
          <w:sz w:val="24"/>
        </w:rPr>
      </w:pPr>
    </w:p>
    <w:p w14:paraId="47C39812" w14:textId="77777777" w:rsidR="002C4F55" w:rsidRDefault="002C4F55" w:rsidP="002C4F55">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35ADD8AF" w14:textId="77777777" w:rsidR="003F5D16" w:rsidRPr="00282BFE" w:rsidRDefault="003F5D16" w:rsidP="002C4F55">
      <w:pPr>
        <w:ind w:right="12"/>
        <w:jc w:val="both"/>
        <w:rPr>
          <w:rFonts w:asciiTheme="minorHAnsi" w:hAnsiTheme="minorHAnsi"/>
          <w:i/>
          <w:sz w:val="24"/>
        </w:rPr>
      </w:pPr>
    </w:p>
    <w:p w14:paraId="695E8BDC" w14:textId="77777777" w:rsidR="002C4F55" w:rsidRPr="00282BFE" w:rsidRDefault="002C4F55" w:rsidP="002C4F55">
      <w:pPr>
        <w:ind w:right="12"/>
        <w:rPr>
          <w:rFonts w:asciiTheme="minorHAnsi" w:hAnsiTheme="minorHAnsi"/>
          <w:i/>
          <w:sz w:val="24"/>
        </w:rPr>
      </w:pPr>
    </w:p>
    <w:p w14:paraId="6B287267" w14:textId="77777777" w:rsidR="002C4F55" w:rsidRPr="005F377C" w:rsidRDefault="002C4F55" w:rsidP="002C4F55">
      <w:pPr>
        <w:rPr>
          <w:rFonts w:asciiTheme="minorHAnsi" w:hAnsiTheme="minorHAnsi"/>
          <w:b/>
          <w:i/>
          <w:sz w:val="24"/>
        </w:rPr>
      </w:pPr>
      <w:r w:rsidRPr="005F377C">
        <w:rPr>
          <w:rFonts w:asciiTheme="minorHAnsi" w:hAnsiTheme="minorHAnsi"/>
          <w:b/>
          <w:i/>
          <w:sz w:val="24"/>
        </w:rPr>
        <w:t xml:space="preserve">Engineering &amp; Technology </w:t>
      </w:r>
    </w:p>
    <w:p w14:paraId="09B9C073" w14:textId="77777777" w:rsidR="002C4F55" w:rsidRPr="00282BFE" w:rsidRDefault="002C4F55" w:rsidP="002C4F55">
      <w:pPr>
        <w:ind w:right="12"/>
        <w:rPr>
          <w:rFonts w:asciiTheme="minorHAnsi" w:hAnsiTheme="minorHAnsi"/>
          <w:i/>
          <w:sz w:val="24"/>
        </w:rPr>
      </w:pPr>
    </w:p>
    <w:p w14:paraId="3618A5F7" w14:textId="3FC14648" w:rsidR="008B081D" w:rsidRDefault="00E76E86" w:rsidP="002C4F55">
      <w:pPr>
        <w:ind w:right="12"/>
        <w:jc w:val="center"/>
      </w:pPr>
      <w:r w:rsidRPr="00E76E86">
        <w:t xml:space="preserve"> </w:t>
      </w:r>
      <w:r w:rsidR="00F37A8E">
        <w:rPr>
          <w:noProof/>
        </w:rPr>
        <w:drawing>
          <wp:inline distT="0" distB="0" distL="0" distR="0" wp14:anchorId="74B2033B" wp14:editId="06D62708">
            <wp:extent cx="2624328" cy="5925312"/>
            <wp:effectExtent l="0" t="0" r="508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ET WLV.JPG"/>
                    <pic:cNvPicPr/>
                  </pic:nvPicPr>
                  <pic:blipFill>
                    <a:blip r:embed="rId20">
                      <a:extLst>
                        <a:ext uri="{28A0092B-C50C-407E-A947-70E740481C1C}">
                          <a14:useLocalDpi xmlns:a14="http://schemas.microsoft.com/office/drawing/2010/main" val="0"/>
                        </a:ext>
                      </a:extLst>
                    </a:blip>
                    <a:stretch>
                      <a:fillRect/>
                    </a:stretch>
                  </pic:blipFill>
                  <pic:spPr>
                    <a:xfrm>
                      <a:off x="0" y="0"/>
                      <a:ext cx="2624328" cy="5925312"/>
                    </a:xfrm>
                    <a:prstGeom prst="rect">
                      <a:avLst/>
                    </a:prstGeom>
                  </pic:spPr>
                </pic:pic>
              </a:graphicData>
            </a:graphic>
          </wp:inline>
        </w:drawing>
      </w:r>
    </w:p>
    <w:p w14:paraId="6AA3B252" w14:textId="77777777" w:rsidR="008B081D" w:rsidRDefault="008B081D" w:rsidP="002C4F55">
      <w:pPr>
        <w:ind w:right="12"/>
        <w:jc w:val="center"/>
      </w:pPr>
    </w:p>
    <w:p w14:paraId="24FCD978" w14:textId="77777777" w:rsidR="008B081D" w:rsidRDefault="008B081D">
      <w:r>
        <w:br w:type="page"/>
      </w:r>
    </w:p>
    <w:p w14:paraId="132F96BB" w14:textId="373B2FC3" w:rsidR="008B081D" w:rsidRPr="002A0AD3" w:rsidRDefault="008B081D" w:rsidP="008B081D">
      <w:pPr>
        <w:shd w:val="clear" w:color="auto" w:fill="EAF1DD" w:themeFill="accent3" w:themeFillTint="33"/>
        <w:ind w:right="12"/>
        <w:jc w:val="center"/>
        <w:rPr>
          <w:rFonts w:asciiTheme="minorHAnsi" w:hAnsiTheme="minorHAnsi"/>
          <w:sz w:val="28"/>
        </w:rPr>
      </w:pPr>
      <w:r w:rsidRPr="002A0AD3">
        <w:rPr>
          <w:rFonts w:asciiTheme="minorHAnsi" w:hAnsiTheme="minorHAnsi"/>
          <w:b/>
          <w:sz w:val="28"/>
        </w:rPr>
        <w:lastRenderedPageBreak/>
        <w:t>Oregon Tech–Wilsonville</w:t>
      </w:r>
      <w:r>
        <w:rPr>
          <w:rFonts w:asciiTheme="minorHAnsi" w:hAnsiTheme="minorHAnsi"/>
          <w:b/>
          <w:sz w:val="28"/>
        </w:rPr>
        <w:t xml:space="preserve"> – </w:t>
      </w:r>
      <w:r w:rsidR="00A37005">
        <w:rPr>
          <w:rFonts w:asciiTheme="minorHAnsi" w:hAnsiTheme="minorHAnsi"/>
          <w:b/>
          <w:sz w:val="28"/>
        </w:rPr>
        <w:t>Summer 2018</w:t>
      </w:r>
    </w:p>
    <w:p w14:paraId="23B63803" w14:textId="77777777" w:rsidR="008B081D" w:rsidRPr="005545FC" w:rsidRDefault="008B081D" w:rsidP="008B081D">
      <w:pPr>
        <w:pStyle w:val="Heading3"/>
      </w:pPr>
      <w:r w:rsidRPr="005545FC">
        <w:t>Differential Programs</w:t>
      </w:r>
      <w:r>
        <w:t>—</w:t>
      </w:r>
      <w:r w:rsidRPr="005545FC">
        <w:t>Graduate</w:t>
      </w:r>
    </w:p>
    <w:p w14:paraId="208F87C9" w14:textId="77777777" w:rsidR="008B081D" w:rsidRPr="00282BFE" w:rsidRDefault="008B081D" w:rsidP="008B081D">
      <w:pPr>
        <w:ind w:right="12"/>
        <w:jc w:val="center"/>
        <w:rPr>
          <w:rFonts w:asciiTheme="minorHAnsi" w:hAnsiTheme="minorHAnsi"/>
          <w:b/>
          <w:sz w:val="24"/>
        </w:rPr>
      </w:pPr>
      <w:r w:rsidRPr="00282BFE">
        <w:rPr>
          <w:rFonts w:asciiTheme="minorHAnsi" w:hAnsiTheme="minorHAnsi"/>
          <w:b/>
          <w:sz w:val="24"/>
        </w:rPr>
        <w:t>Per Term</w:t>
      </w:r>
    </w:p>
    <w:p w14:paraId="3D58E271" w14:textId="77777777" w:rsidR="008B081D" w:rsidRPr="00282BFE" w:rsidRDefault="008B081D" w:rsidP="008B081D">
      <w:pPr>
        <w:ind w:right="12"/>
        <w:jc w:val="center"/>
        <w:rPr>
          <w:rFonts w:asciiTheme="minorHAnsi" w:hAnsiTheme="minorHAnsi"/>
          <w:b/>
          <w:color w:val="FF0000"/>
          <w:sz w:val="24"/>
        </w:rPr>
      </w:pPr>
    </w:p>
    <w:p w14:paraId="15F3DA47" w14:textId="77777777" w:rsidR="008B081D" w:rsidRDefault="008B081D" w:rsidP="008B081D">
      <w:pPr>
        <w:ind w:right="12"/>
        <w:jc w:val="both"/>
        <w:rPr>
          <w:rFonts w:asciiTheme="minorHAnsi" w:hAnsiTheme="minorHAnsi"/>
          <w:i/>
          <w:sz w:val="24"/>
        </w:rPr>
      </w:pPr>
      <w:r w:rsidRPr="00282BFE">
        <w:rPr>
          <w:rFonts w:asciiTheme="minorHAnsi" w:hAnsiTheme="minorHAnsi"/>
          <w:i/>
          <w:sz w:val="24"/>
        </w:rPr>
        <w:t xml:space="preserve">Data in this table represents Tuition Costs only and does not include Mandatory Fees. The Mandatory Fee information can be found in the Mandatory Fee Tables for this institution. </w:t>
      </w:r>
    </w:p>
    <w:p w14:paraId="4709855F" w14:textId="77777777" w:rsidR="008B081D" w:rsidRPr="00282BFE" w:rsidRDefault="008B081D" w:rsidP="008B081D">
      <w:pPr>
        <w:ind w:right="12"/>
        <w:jc w:val="both"/>
        <w:rPr>
          <w:rFonts w:asciiTheme="minorHAnsi" w:hAnsiTheme="minorHAnsi"/>
          <w:i/>
          <w:sz w:val="24"/>
        </w:rPr>
      </w:pPr>
    </w:p>
    <w:p w14:paraId="534E7476" w14:textId="77777777" w:rsidR="008B081D" w:rsidRPr="00282BFE" w:rsidRDefault="008B081D" w:rsidP="008B081D">
      <w:pPr>
        <w:ind w:right="12"/>
        <w:rPr>
          <w:rFonts w:asciiTheme="minorHAnsi" w:hAnsiTheme="minorHAnsi"/>
          <w:i/>
          <w:sz w:val="24"/>
        </w:rPr>
      </w:pPr>
    </w:p>
    <w:p w14:paraId="03D6C2BD" w14:textId="55F07D8A" w:rsidR="008B081D" w:rsidRDefault="00306697" w:rsidP="008B081D">
      <w:pPr>
        <w:rPr>
          <w:rFonts w:asciiTheme="minorHAnsi" w:hAnsiTheme="minorHAnsi"/>
          <w:b/>
          <w:i/>
          <w:sz w:val="24"/>
        </w:rPr>
      </w:pPr>
      <w:r>
        <w:rPr>
          <w:rFonts w:asciiTheme="minorHAnsi" w:hAnsiTheme="minorHAnsi"/>
          <w:b/>
          <w:i/>
          <w:sz w:val="24"/>
        </w:rPr>
        <w:t>Engineering &amp; Technology</w:t>
      </w:r>
    </w:p>
    <w:p w14:paraId="60F98767" w14:textId="77777777" w:rsidR="008B081D" w:rsidRDefault="008B081D" w:rsidP="008B081D">
      <w:pPr>
        <w:rPr>
          <w:rFonts w:asciiTheme="minorHAnsi" w:hAnsiTheme="minorHAnsi"/>
          <w:b/>
          <w:i/>
          <w:sz w:val="24"/>
        </w:rPr>
      </w:pPr>
    </w:p>
    <w:p w14:paraId="5FCC63D7" w14:textId="686B1567" w:rsidR="008B081D" w:rsidRPr="005F377C" w:rsidRDefault="00306697" w:rsidP="008B081D">
      <w:pPr>
        <w:jc w:val="center"/>
        <w:rPr>
          <w:rFonts w:asciiTheme="minorHAnsi" w:hAnsiTheme="minorHAnsi"/>
          <w:b/>
          <w:i/>
          <w:sz w:val="24"/>
        </w:rPr>
      </w:pPr>
      <w:r>
        <w:rPr>
          <w:rFonts w:asciiTheme="minorHAnsi" w:hAnsiTheme="minorHAnsi"/>
          <w:b/>
          <w:i/>
          <w:noProof/>
          <w:sz w:val="24"/>
        </w:rPr>
        <w:drawing>
          <wp:inline distT="0" distB="0" distL="0" distR="0" wp14:anchorId="6F210228" wp14:editId="01562F72">
            <wp:extent cx="2619375" cy="593407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ET WLV Grad.JPG"/>
                    <pic:cNvPicPr/>
                  </pic:nvPicPr>
                  <pic:blipFill>
                    <a:blip r:embed="rId21">
                      <a:extLst>
                        <a:ext uri="{28A0092B-C50C-407E-A947-70E740481C1C}">
                          <a14:useLocalDpi xmlns:a14="http://schemas.microsoft.com/office/drawing/2010/main" val="0"/>
                        </a:ext>
                      </a:extLst>
                    </a:blip>
                    <a:stretch>
                      <a:fillRect/>
                    </a:stretch>
                  </pic:blipFill>
                  <pic:spPr>
                    <a:xfrm>
                      <a:off x="0" y="0"/>
                      <a:ext cx="2619375" cy="5934075"/>
                    </a:xfrm>
                    <a:prstGeom prst="rect">
                      <a:avLst/>
                    </a:prstGeom>
                  </pic:spPr>
                </pic:pic>
              </a:graphicData>
            </a:graphic>
          </wp:inline>
        </w:drawing>
      </w:r>
    </w:p>
    <w:p w14:paraId="3F1F1EC0" w14:textId="77777777" w:rsidR="008B081D" w:rsidRPr="00282BFE" w:rsidRDefault="008B081D" w:rsidP="008B081D">
      <w:pPr>
        <w:ind w:right="12"/>
        <w:rPr>
          <w:rFonts w:asciiTheme="minorHAnsi" w:hAnsiTheme="minorHAnsi"/>
          <w:i/>
          <w:sz w:val="24"/>
        </w:rPr>
      </w:pPr>
    </w:p>
    <w:p w14:paraId="27EB77F4" w14:textId="77777777" w:rsidR="002C4F55" w:rsidRPr="00282BFE" w:rsidRDefault="002C4F55" w:rsidP="002C4F55">
      <w:pPr>
        <w:ind w:right="12"/>
        <w:jc w:val="center"/>
        <w:rPr>
          <w:rFonts w:asciiTheme="minorHAnsi" w:hAnsiTheme="minorHAnsi"/>
          <w:i/>
          <w:sz w:val="24"/>
        </w:rPr>
      </w:pPr>
      <w:r w:rsidRPr="00282BFE">
        <w:rPr>
          <w:rFonts w:asciiTheme="minorHAnsi" w:hAnsiTheme="minorHAnsi"/>
          <w:b/>
          <w:sz w:val="24"/>
        </w:rPr>
        <w:br w:type="page"/>
      </w:r>
    </w:p>
    <w:p w14:paraId="2072FB78" w14:textId="77777777" w:rsidR="00306697" w:rsidRDefault="00306697" w:rsidP="00EB06D9">
      <w:pPr>
        <w:pStyle w:val="Heading1"/>
      </w:pPr>
      <w:bookmarkStart w:id="152" w:name="_Toc421521593"/>
      <w:bookmarkStart w:id="153" w:name="_Toc322438385"/>
      <w:bookmarkStart w:id="154" w:name="_Toc322440172"/>
      <w:bookmarkStart w:id="155" w:name="_Toc322440255"/>
      <w:bookmarkEnd w:id="115"/>
      <w:bookmarkEnd w:id="116"/>
      <w:bookmarkEnd w:id="117"/>
      <w:bookmarkEnd w:id="146"/>
      <w:bookmarkEnd w:id="147"/>
      <w:bookmarkEnd w:id="148"/>
    </w:p>
    <w:p w14:paraId="25944C69" w14:textId="77777777" w:rsidR="00306697" w:rsidRDefault="00306697" w:rsidP="00EB06D9">
      <w:pPr>
        <w:pStyle w:val="Heading1"/>
      </w:pPr>
    </w:p>
    <w:p w14:paraId="63302E60" w14:textId="77777777" w:rsidR="00306697" w:rsidRDefault="00306697" w:rsidP="00EB06D9">
      <w:pPr>
        <w:pStyle w:val="Heading1"/>
      </w:pPr>
    </w:p>
    <w:p w14:paraId="443DA276" w14:textId="77777777" w:rsidR="00306697" w:rsidRDefault="00306697" w:rsidP="00EB06D9">
      <w:pPr>
        <w:pStyle w:val="Heading1"/>
      </w:pPr>
    </w:p>
    <w:p w14:paraId="71EEBA18" w14:textId="77777777" w:rsidR="00306697" w:rsidRDefault="00306697" w:rsidP="00EB06D9">
      <w:pPr>
        <w:pStyle w:val="Heading1"/>
      </w:pPr>
    </w:p>
    <w:p w14:paraId="5E338C61" w14:textId="77777777" w:rsidR="00306697" w:rsidRDefault="00306697" w:rsidP="00EB06D9">
      <w:pPr>
        <w:pStyle w:val="Heading1"/>
      </w:pPr>
    </w:p>
    <w:p w14:paraId="008091CD" w14:textId="77777777" w:rsidR="00306697" w:rsidRDefault="00306697" w:rsidP="00EB06D9">
      <w:pPr>
        <w:pStyle w:val="Heading1"/>
      </w:pPr>
    </w:p>
    <w:p w14:paraId="68BB8C43" w14:textId="77777777" w:rsidR="00306697" w:rsidRDefault="00306697" w:rsidP="00EB06D9">
      <w:pPr>
        <w:pStyle w:val="Heading1"/>
      </w:pPr>
    </w:p>
    <w:p w14:paraId="009F7672" w14:textId="77777777" w:rsidR="00306697" w:rsidRDefault="00306697" w:rsidP="00EB06D9">
      <w:pPr>
        <w:pStyle w:val="Heading1"/>
      </w:pPr>
    </w:p>
    <w:p w14:paraId="02546DC1" w14:textId="7E00D2AF" w:rsidR="00EB06D9" w:rsidRPr="00997081" w:rsidRDefault="00EB06D9" w:rsidP="00EB06D9">
      <w:pPr>
        <w:pStyle w:val="Heading1"/>
      </w:pPr>
      <w:r w:rsidRPr="00997081">
        <w:t>Glossary of Terms</w:t>
      </w:r>
      <w:bookmarkEnd w:id="152"/>
    </w:p>
    <w:p w14:paraId="7C033EE1" w14:textId="77777777" w:rsidR="00EB06D9" w:rsidRPr="00282BFE" w:rsidRDefault="00EB06D9" w:rsidP="00EB06D9">
      <w:pPr>
        <w:ind w:right="12"/>
        <w:rPr>
          <w:rFonts w:asciiTheme="minorHAnsi" w:hAnsiTheme="minorHAnsi"/>
          <w:sz w:val="24"/>
        </w:rPr>
      </w:pPr>
    </w:p>
    <w:p w14:paraId="23903FAB" w14:textId="77777777" w:rsidR="00EB06D9" w:rsidRDefault="00EB06D9" w:rsidP="00EB06D9">
      <w:r w:rsidRPr="00282BFE">
        <w:rPr>
          <w:noProof/>
        </w:rPr>
        <mc:AlternateContent>
          <mc:Choice Requires="wps">
            <w:drawing>
              <wp:anchor distT="0" distB="0" distL="114300" distR="114300" simplePos="0" relativeHeight="251659264" behindDoc="0" locked="0" layoutInCell="1" allowOverlap="1" wp14:anchorId="2CA61205" wp14:editId="7A0E200E">
                <wp:simplePos x="0" y="0"/>
                <wp:positionH relativeFrom="column">
                  <wp:posOffset>2819400</wp:posOffset>
                </wp:positionH>
                <wp:positionV relativeFrom="paragraph">
                  <wp:posOffset>5734050</wp:posOffset>
                </wp:positionV>
                <wp:extent cx="533400" cy="207010"/>
                <wp:effectExtent l="0" t="0" r="0" b="2540"/>
                <wp:wrapNone/>
                <wp:docPr id="4"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4F701" w14:textId="77777777" w:rsidR="00B232A0" w:rsidRDefault="00B232A0" w:rsidP="00EB0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61205" id="_x0000_t202" coordsize="21600,21600" o:spt="202" path="m,l,21600r21600,l21600,xe">
                <v:stroke joinstyle="miter"/>
                <v:path gradientshapeok="t" o:connecttype="rect"/>
              </v:shapetype>
              <v:shape id="Text Box 1747" o:spid="_x0000_s1026" type="#_x0000_t202" style="position:absolute;margin-left:222pt;margin-top:451.5pt;width:42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" stroked="f">
                <v:textbox>
                  <w:txbxContent>
                    <w:p w14:paraId="5824F701" w14:textId="77777777" w:rsidR="00B232A0" w:rsidRDefault="00B232A0" w:rsidP="00EB06D9"/>
                  </w:txbxContent>
                </v:textbox>
              </v:shape>
            </w:pict>
          </mc:Fallback>
        </mc:AlternateContent>
      </w:r>
      <w:r w:rsidRPr="00282BFE">
        <w:br w:type="page"/>
      </w:r>
    </w:p>
    <w:p w14:paraId="6FE74C53" w14:textId="77777777" w:rsidR="00EB06D9" w:rsidRPr="00997081" w:rsidRDefault="00EB06D9" w:rsidP="00EB06D9">
      <w:pPr>
        <w:ind w:right="12"/>
        <w:rPr>
          <w:rFonts w:asciiTheme="minorHAnsi" w:hAnsiTheme="minorHAnsi"/>
          <w:b/>
          <w:smallCaps/>
          <w:sz w:val="32"/>
        </w:rPr>
      </w:pPr>
      <w:bookmarkStart w:id="156" w:name="_Toc291078574"/>
      <w:bookmarkStart w:id="157" w:name="_Toc291079057"/>
      <w:bookmarkStart w:id="158" w:name="_Toc291079563"/>
      <w:r w:rsidRPr="00997081">
        <w:rPr>
          <w:rFonts w:asciiTheme="minorHAnsi" w:hAnsiTheme="minorHAnsi"/>
          <w:b/>
          <w:smallCaps/>
          <w:sz w:val="32"/>
        </w:rPr>
        <w:lastRenderedPageBreak/>
        <w:t>Glossary of Terms Common to Higher Education</w:t>
      </w:r>
      <w:bookmarkEnd w:id="156"/>
      <w:bookmarkEnd w:id="157"/>
      <w:bookmarkEnd w:id="158"/>
    </w:p>
    <w:p w14:paraId="1767F7C1"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Academic advisement:</w:t>
      </w:r>
      <w:r w:rsidRPr="00282BFE">
        <w:rPr>
          <w:rFonts w:asciiTheme="minorHAnsi" w:hAnsiTheme="minorHAnsi"/>
          <w:sz w:val="24"/>
        </w:rPr>
        <w:t xml:space="preserve"> Each admitted student is assigned to a faculty member or a trained adviser who helps the student create and implement a plan, via regularly scheduled meetings, to attain short- and long-term academic and vocational goals. </w:t>
      </w:r>
    </w:p>
    <w:p w14:paraId="0A98544C"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Admitted student:</w:t>
      </w:r>
      <w:r w:rsidRPr="00282BFE">
        <w:rPr>
          <w:rFonts w:asciiTheme="minorHAnsi" w:hAnsiTheme="minorHAnsi"/>
          <w:sz w:val="24"/>
        </w:rPr>
        <w:t xml:space="preserve"> Applicant who is offered admission to a degree-granting program at Oregon</w:t>
      </w:r>
      <w:r>
        <w:rPr>
          <w:rFonts w:asciiTheme="minorHAnsi" w:hAnsiTheme="minorHAnsi"/>
          <w:sz w:val="24"/>
        </w:rPr>
        <w:t xml:space="preserve"> Institute of Technology (Oregon Tech).</w:t>
      </w:r>
      <w:r w:rsidRPr="00282BFE">
        <w:rPr>
          <w:rFonts w:asciiTheme="minorHAnsi" w:hAnsiTheme="minorHAnsi"/>
          <w:sz w:val="24"/>
        </w:rPr>
        <w:t xml:space="preserve"> </w:t>
      </w:r>
    </w:p>
    <w:p w14:paraId="10E6AF65"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b/>
          <w:bCs/>
          <w:sz w:val="24"/>
        </w:rPr>
        <w:t>Applicant (first-time, first-year):</w:t>
      </w:r>
      <w:r w:rsidRPr="00282BFE">
        <w:rPr>
          <w:rFonts w:asciiTheme="minorHAnsi" w:hAnsiTheme="minorHAnsi"/>
          <w:sz w:val="24"/>
        </w:rPr>
        <w:t xml:space="preserve"> An individual who has fulfilled the institution's requirements to be considered for admission (including payment or waiving of the application fee, if any) and who has been notified of one of the following actions: admission, non-admission, placement on waiting list, or application withdrawn (by applicant or institution). </w:t>
      </w:r>
    </w:p>
    <w:p w14:paraId="7CE3699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Application fee:</w:t>
      </w:r>
      <w:r w:rsidRPr="00282BFE">
        <w:rPr>
          <w:rFonts w:asciiTheme="minorHAnsi" w:hAnsiTheme="minorHAnsi"/>
          <w:sz w:val="24"/>
        </w:rPr>
        <w:t xml:space="preserve"> That amount of money an institution charges for processing a student's application for acceptance. This amount is </w:t>
      </w:r>
      <w:r w:rsidRPr="00282BFE">
        <w:rPr>
          <w:rFonts w:asciiTheme="minorHAnsi" w:hAnsiTheme="minorHAnsi"/>
          <w:i/>
          <w:iCs/>
          <w:sz w:val="24"/>
        </w:rPr>
        <w:t>not</w:t>
      </w:r>
      <w:r w:rsidRPr="00282BFE">
        <w:rPr>
          <w:rFonts w:asciiTheme="minorHAnsi" w:hAnsiTheme="minorHAnsi"/>
          <w:sz w:val="24"/>
        </w:rPr>
        <w:t xml:space="preserve"> creditable toward tuition and required fees, nor is it refundable if the student is not admitted to the institution. </w:t>
      </w:r>
    </w:p>
    <w:p w14:paraId="3B57A785"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 xml:space="preserve">Application fee deferral: </w:t>
      </w:r>
      <w:r w:rsidRPr="00282BFE">
        <w:rPr>
          <w:rFonts w:asciiTheme="minorHAnsi" w:hAnsiTheme="minorHAnsi"/>
          <w:bCs/>
          <w:sz w:val="24"/>
        </w:rPr>
        <w:t>The application fee for first-time freshmen or transfer students may be deferred for students who meet specific requirements.</w:t>
      </w:r>
    </w:p>
    <w:p w14:paraId="2CC259FB" w14:textId="77777777" w:rsidR="00EB06D9" w:rsidRPr="00282BFE" w:rsidRDefault="00EB06D9" w:rsidP="00EB06D9">
      <w:pPr>
        <w:spacing w:before="120" w:after="120"/>
        <w:ind w:left="360" w:right="14"/>
        <w:jc w:val="both"/>
        <w:rPr>
          <w:rFonts w:asciiTheme="minorHAnsi" w:hAnsiTheme="minorHAnsi"/>
          <w:sz w:val="24"/>
        </w:rPr>
      </w:pPr>
      <w:r w:rsidRPr="00282BFE">
        <w:rPr>
          <w:rFonts w:asciiTheme="minorHAnsi" w:hAnsiTheme="minorHAnsi"/>
          <w:b/>
          <w:bCs/>
          <w:sz w:val="24"/>
        </w:rPr>
        <w:t>Articulation:</w:t>
      </w:r>
      <w:r w:rsidRPr="00282BFE">
        <w:rPr>
          <w:rFonts w:asciiTheme="minorHAnsi" w:hAnsiTheme="minorHAnsi"/>
          <w:sz w:val="24"/>
        </w:rPr>
        <w:t xml:space="preserve"> The process by which two or more institutions align courses and programs to ensure the smooth flow of students between campuses.</w:t>
      </w:r>
    </w:p>
    <w:p w14:paraId="3702C2A8"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Associate degree:</w:t>
      </w:r>
      <w:r w:rsidRPr="00282BFE">
        <w:rPr>
          <w:rFonts w:asciiTheme="minorHAnsi" w:hAnsiTheme="minorHAnsi"/>
          <w:sz w:val="24"/>
        </w:rPr>
        <w:t xml:space="preserve"> An award that normally requires at least two but less than four years of full-time equivalent college work. </w:t>
      </w:r>
    </w:p>
    <w:p w14:paraId="7FF28404"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Bachelor's degree:</w:t>
      </w:r>
      <w:r w:rsidRPr="00282BFE">
        <w:rPr>
          <w:rFonts w:asciiTheme="minorHAnsi" w:hAnsiTheme="minorHAnsi"/>
          <w:sz w:val="24"/>
        </w:rPr>
        <w:t xml:space="preserve"> An award (baccalaureate or equivalent degree, as determined by the Secretary of the U.S. Department of Education) that normally requires at least four years to complete. </w:t>
      </w:r>
    </w:p>
    <w:p w14:paraId="15BF7741"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Board rates (charges):</w:t>
      </w:r>
      <w:r w:rsidRPr="00282BFE">
        <w:rPr>
          <w:rFonts w:asciiTheme="minorHAnsi" w:hAnsiTheme="minorHAnsi"/>
          <w:sz w:val="24"/>
        </w:rPr>
        <w:t xml:space="preserve"> Cost for a predetermined number of meals per week</w:t>
      </w:r>
      <w:r>
        <w:rPr>
          <w:rFonts w:asciiTheme="minorHAnsi" w:hAnsiTheme="minorHAnsi"/>
          <w:sz w:val="24"/>
        </w:rPr>
        <w:t xml:space="preserve">: </w:t>
      </w:r>
      <w:r w:rsidRPr="00282BFE">
        <w:rPr>
          <w:rFonts w:asciiTheme="minorHAnsi" w:hAnsiTheme="minorHAnsi"/>
          <w:sz w:val="24"/>
        </w:rPr>
        <w:t>generally within a meal plan.</w:t>
      </w:r>
    </w:p>
    <w:p w14:paraId="6D4EBE5E"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Building fee:</w:t>
      </w:r>
      <w:r w:rsidRPr="00282BFE">
        <w:rPr>
          <w:rFonts w:asciiTheme="minorHAnsi" w:hAnsiTheme="minorHAnsi"/>
          <w:sz w:val="24"/>
        </w:rPr>
        <w:t xml:space="preserve"> A legislatively mandated fee which is assessed at the same rate for all </w:t>
      </w:r>
      <w:r>
        <w:rPr>
          <w:rFonts w:asciiTheme="minorHAnsi" w:hAnsiTheme="minorHAnsi"/>
          <w:sz w:val="24"/>
        </w:rPr>
        <w:t>public universities</w:t>
      </w:r>
      <w:r w:rsidRPr="00282BFE">
        <w:rPr>
          <w:rFonts w:asciiTheme="minorHAnsi" w:hAnsiTheme="minorHAnsi"/>
          <w:sz w:val="24"/>
        </w:rPr>
        <w:t xml:space="preserve">, on a per term basis, to finance debt service for construction associated with student centers, health centers, and recreational facilities. </w:t>
      </w:r>
    </w:p>
    <w:p w14:paraId="00EA207A"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Calendar system:</w:t>
      </w:r>
      <w:r w:rsidRPr="00282BFE">
        <w:rPr>
          <w:rFonts w:asciiTheme="minorHAnsi" w:hAnsiTheme="minorHAnsi"/>
          <w:sz w:val="24"/>
        </w:rPr>
        <w:t xml:space="preserve"> The method by which an institution structures most of its courses for the academic year. </w:t>
      </w:r>
    </w:p>
    <w:p w14:paraId="30EC9368"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Career counseling:</w:t>
      </w:r>
      <w:r w:rsidRPr="00282BFE">
        <w:rPr>
          <w:rFonts w:asciiTheme="minorHAnsi" w:hAnsiTheme="minorHAnsi"/>
          <w:sz w:val="24"/>
        </w:rPr>
        <w:t xml:space="preserve"> A range of services that may include: coordination of visits of employers to campus; aptitude and vocational testing; interest inventories; personal counseling; help in résumé writing, interviewing, launching the job search; listings for those students desiring employment and those seeking permanent positions; establishment of a permanent reference folder; and career resource materials. </w:t>
      </w:r>
    </w:p>
    <w:p w14:paraId="7EDFC143"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Class rank:</w:t>
      </w:r>
      <w:r w:rsidRPr="00282BFE">
        <w:rPr>
          <w:rFonts w:asciiTheme="minorHAnsi" w:hAnsiTheme="minorHAnsi"/>
          <w:sz w:val="24"/>
        </w:rPr>
        <w:t xml:space="preserve"> The relative numeric position of a student in his or her graduating class, calculated on the basis of grade point average, whether weighted or un-weighted. </w:t>
      </w:r>
    </w:p>
    <w:p w14:paraId="690633CA"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Continuous basis (for program enrollment):</w:t>
      </w:r>
      <w:r w:rsidRPr="00282BFE">
        <w:rPr>
          <w:rFonts w:asciiTheme="minorHAnsi" w:hAnsiTheme="minorHAnsi"/>
          <w:sz w:val="24"/>
        </w:rPr>
        <w:t xml:space="preserve"> A calendar system classification that is used by institutions that enroll students at any time during the academic year.</w:t>
      </w:r>
    </w:p>
    <w:p w14:paraId="2DFDCC23" w14:textId="77777777" w:rsidR="00EB06D9" w:rsidRDefault="00EB06D9" w:rsidP="00EB06D9">
      <w:pPr>
        <w:spacing w:before="120" w:after="120"/>
        <w:ind w:left="360" w:right="12"/>
        <w:jc w:val="both"/>
        <w:rPr>
          <w:rFonts w:asciiTheme="minorHAnsi" w:hAnsiTheme="minorHAnsi"/>
          <w:iCs/>
          <w:sz w:val="24"/>
        </w:rPr>
      </w:pPr>
      <w:r w:rsidRPr="00282BFE">
        <w:rPr>
          <w:rFonts w:asciiTheme="minorHAnsi" w:hAnsiTheme="minorHAnsi"/>
          <w:b/>
          <w:bCs/>
          <w:sz w:val="24"/>
        </w:rPr>
        <w:t>Community college transfer student:</w:t>
      </w:r>
      <w:r w:rsidRPr="00282BFE">
        <w:rPr>
          <w:rFonts w:asciiTheme="minorHAnsi" w:hAnsiTheme="minorHAnsi"/>
          <w:sz w:val="24"/>
        </w:rPr>
        <w:t xml:space="preserve"> </w:t>
      </w:r>
      <w:r>
        <w:rPr>
          <w:rFonts w:asciiTheme="minorHAnsi" w:hAnsiTheme="minorHAnsi"/>
          <w:sz w:val="24"/>
        </w:rPr>
        <w:t>For Oregon Tech</w:t>
      </w:r>
      <w:r w:rsidRPr="00282BFE">
        <w:rPr>
          <w:rFonts w:asciiTheme="minorHAnsi" w:hAnsiTheme="minorHAnsi"/>
          <w:iCs/>
          <w:sz w:val="24"/>
        </w:rPr>
        <w:t xml:space="preserve">, “transfer students" must have completed a minimum number of credits for acceptable college level work. </w:t>
      </w:r>
    </w:p>
    <w:p w14:paraId="7C8D28F0"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Credit:</w:t>
      </w:r>
      <w:r w:rsidRPr="00282BFE">
        <w:rPr>
          <w:rFonts w:asciiTheme="minorHAnsi" w:hAnsiTheme="minorHAnsi"/>
          <w:sz w:val="24"/>
        </w:rPr>
        <w:t xml:space="preserve"> A unit of recognition of attendance or performance in an instructional activity (course or program) that can be applied by a recipient toward the requirements for a degree, diploma, certificate, or other formal award. </w:t>
      </w:r>
    </w:p>
    <w:p w14:paraId="4E68714E"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Credit course:</w:t>
      </w:r>
      <w:r w:rsidRPr="00282BFE">
        <w:rPr>
          <w:rFonts w:asciiTheme="minorHAnsi" w:hAnsiTheme="minorHAnsi"/>
          <w:sz w:val="24"/>
        </w:rPr>
        <w:t xml:space="preserve"> A course that, if successfully completed, can be applied toward the number of courses required for achieving a degree, diploma, certificate, or other formal award. </w:t>
      </w:r>
    </w:p>
    <w:p w14:paraId="17CF8964"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lastRenderedPageBreak/>
        <w:t>Credit hour:</w:t>
      </w:r>
      <w:r w:rsidRPr="00282BFE">
        <w:rPr>
          <w:rFonts w:asciiTheme="minorHAnsi" w:hAnsiTheme="minorHAnsi"/>
          <w:sz w:val="24"/>
        </w:rPr>
        <w:t xml:space="preserve"> A unit of measure representing an hour (50 minutes) of instruction over a 10-week period within a quarter system. It is usually applied toward the total number of hours needed for completing the requirements of a degree, diploma, certificate, or other formal award. </w:t>
      </w:r>
    </w:p>
    <w:p w14:paraId="0FD682D2"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Deferred admission:</w:t>
      </w:r>
      <w:r w:rsidRPr="00282BFE">
        <w:rPr>
          <w:rFonts w:asciiTheme="minorHAnsi" w:hAnsiTheme="minorHAnsi"/>
          <w:sz w:val="24"/>
        </w:rPr>
        <w:t xml:space="preserve"> The practice of permitting admitted students to postpone enrollment for a specific period-of-time, for example one academic term or one academic year. </w:t>
      </w:r>
    </w:p>
    <w:p w14:paraId="33655C53"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Differential tuition:</w:t>
      </w:r>
      <w:r w:rsidRPr="00282BFE">
        <w:rPr>
          <w:rFonts w:asciiTheme="minorHAnsi" w:hAnsiTheme="minorHAnsi"/>
          <w:sz w:val="24"/>
        </w:rPr>
        <w:t xml:space="preserve"> Differential tuition is defined as additional tuition that is supplementary to the base tuition level approved annually by the </w:t>
      </w:r>
      <w:r>
        <w:rPr>
          <w:rFonts w:asciiTheme="minorHAnsi" w:hAnsiTheme="minorHAnsi"/>
          <w:sz w:val="24"/>
        </w:rPr>
        <w:t>Board of Trustees</w:t>
      </w:r>
      <w:r w:rsidRPr="00282BFE">
        <w:rPr>
          <w:rFonts w:asciiTheme="minorHAnsi" w:hAnsiTheme="minorHAnsi"/>
          <w:sz w:val="24"/>
        </w:rPr>
        <w:t xml:space="preserve">. Differential tuition is intended to 1) offset higher than average instructional costs; or 2) provide supplemental resources to enhance program quality; or 3) reflect the market for programs with high demand. </w:t>
      </w:r>
      <w:r w:rsidRPr="00282BFE">
        <w:rPr>
          <w:rFonts w:asciiTheme="minorHAnsi" w:hAnsiTheme="minorHAnsi"/>
          <w:i/>
          <w:sz w:val="24"/>
        </w:rPr>
        <w:t>Note: Amounts included in the differential tuition schedules in this document represent the sum of the base tuition and the applicable differential amount.</w:t>
      </w:r>
      <w:r w:rsidRPr="00282BFE">
        <w:rPr>
          <w:rFonts w:asciiTheme="minorHAnsi" w:hAnsiTheme="minorHAnsi"/>
          <w:sz w:val="24"/>
        </w:rPr>
        <w:t xml:space="preserve"> </w:t>
      </w:r>
    </w:p>
    <w:p w14:paraId="5293B22B"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Degree:</w:t>
      </w:r>
      <w:r w:rsidRPr="00282BFE">
        <w:rPr>
          <w:rFonts w:asciiTheme="minorHAnsi" w:hAnsiTheme="minorHAnsi"/>
          <w:sz w:val="24"/>
        </w:rPr>
        <w:t xml:space="preserve"> An award conferred by a college, university, or other postsecondary education institution as official recognition for the successful completion of a program of studies. </w:t>
      </w:r>
    </w:p>
    <w:p w14:paraId="0727098B"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Degree-seeking students:</w:t>
      </w:r>
      <w:r w:rsidRPr="00282BFE">
        <w:rPr>
          <w:rFonts w:asciiTheme="minorHAnsi" w:hAnsiTheme="minorHAnsi"/>
          <w:sz w:val="24"/>
        </w:rPr>
        <w:t xml:space="preserve"> Students enrolled in courses for credit who are recognized by the institution as seeking a degree or formal award. At the </w:t>
      </w:r>
      <w:r>
        <w:rPr>
          <w:rFonts w:asciiTheme="minorHAnsi" w:hAnsiTheme="minorHAnsi"/>
          <w:sz w:val="24"/>
        </w:rPr>
        <w:t>undergraduate</w:t>
      </w:r>
      <w:r w:rsidRPr="00282BFE">
        <w:rPr>
          <w:rFonts w:asciiTheme="minorHAnsi" w:hAnsiTheme="minorHAnsi"/>
          <w:sz w:val="24"/>
        </w:rPr>
        <w:t xml:space="preserve"> level, this is intended to include students enrolled in vocational or occupational programs.</w:t>
      </w:r>
    </w:p>
    <w:p w14:paraId="7FA5DEE0"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Delegation of authority:</w:t>
      </w:r>
      <w:r w:rsidRPr="00282BFE">
        <w:rPr>
          <w:rFonts w:asciiTheme="minorHAnsi" w:hAnsiTheme="minorHAnsi"/>
          <w:sz w:val="24"/>
        </w:rPr>
        <w:t xml:space="preserve"> The Oregon statutes which grant authority to the </w:t>
      </w:r>
      <w:r>
        <w:rPr>
          <w:rFonts w:asciiTheme="minorHAnsi" w:hAnsiTheme="minorHAnsi"/>
          <w:sz w:val="24"/>
        </w:rPr>
        <w:t xml:space="preserve">Oregon Tech </w:t>
      </w:r>
      <w:r w:rsidRPr="00282BFE">
        <w:rPr>
          <w:rFonts w:asciiTheme="minorHAnsi" w:hAnsiTheme="minorHAnsi"/>
          <w:sz w:val="24"/>
        </w:rPr>
        <w:t xml:space="preserve">Board of </w:t>
      </w:r>
      <w:r>
        <w:rPr>
          <w:rFonts w:asciiTheme="minorHAnsi" w:hAnsiTheme="minorHAnsi"/>
          <w:sz w:val="24"/>
        </w:rPr>
        <w:t>Trustees</w:t>
      </w:r>
      <w:r w:rsidRPr="00282BFE">
        <w:rPr>
          <w:rFonts w:asciiTheme="minorHAnsi" w:hAnsiTheme="minorHAnsi"/>
          <w:sz w:val="24"/>
        </w:rPr>
        <w:t xml:space="preserve"> to set tuition and fee rates for Oregon </w:t>
      </w:r>
      <w:r>
        <w:rPr>
          <w:rFonts w:asciiTheme="minorHAnsi" w:hAnsiTheme="minorHAnsi"/>
          <w:sz w:val="24"/>
        </w:rPr>
        <w:t>Tech</w:t>
      </w:r>
      <w:r w:rsidRPr="00282BFE">
        <w:rPr>
          <w:rFonts w:asciiTheme="minorHAnsi" w:hAnsiTheme="minorHAnsi"/>
          <w:sz w:val="24"/>
        </w:rPr>
        <w:t xml:space="preserve"> through an established rulemaking process. </w:t>
      </w:r>
    </w:p>
    <w:p w14:paraId="19643F39"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Distance education:</w:t>
      </w:r>
      <w:r w:rsidRPr="00282BFE">
        <w:rPr>
          <w:rFonts w:asciiTheme="minorHAnsi" w:hAnsiTheme="minorHAnsi"/>
          <w:sz w:val="24"/>
        </w:rPr>
        <w:t xml:space="preserve"> An option for earning course credit at off-campus locations via cable television, Internet, satellite classes, videotapes, correspondence courses, or other means. </w:t>
      </w:r>
    </w:p>
    <w:p w14:paraId="35DA2D52"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Doctoral degree:</w:t>
      </w:r>
      <w:r w:rsidRPr="00282BFE">
        <w:rPr>
          <w:rFonts w:asciiTheme="minorHAnsi" w:hAnsiTheme="minorHAnsi"/>
          <w:sz w:val="24"/>
        </w:rPr>
        <w:t xml:space="preserve"> The highest award a student can earn for graduate study. </w:t>
      </w:r>
    </w:p>
    <w:p w14:paraId="0E0984CC"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Double major:</w:t>
      </w:r>
      <w:r w:rsidRPr="00282BFE">
        <w:rPr>
          <w:rFonts w:asciiTheme="minorHAnsi" w:hAnsiTheme="minorHAnsi"/>
          <w:sz w:val="24"/>
        </w:rPr>
        <w:t xml:space="preserve"> Completion of two </w:t>
      </w:r>
      <w:r>
        <w:rPr>
          <w:rFonts w:asciiTheme="minorHAnsi" w:hAnsiTheme="minorHAnsi"/>
          <w:sz w:val="24"/>
        </w:rPr>
        <w:t>undergraduate</w:t>
      </w:r>
      <w:r w:rsidRPr="00282BFE">
        <w:rPr>
          <w:rFonts w:asciiTheme="minorHAnsi" w:hAnsiTheme="minorHAnsi"/>
          <w:sz w:val="24"/>
        </w:rPr>
        <w:t xml:space="preserve"> programs of study simultaneously. </w:t>
      </w:r>
    </w:p>
    <w:p w14:paraId="1E385011" w14:textId="77777777" w:rsidR="00EB06D9" w:rsidRPr="00282BFE" w:rsidRDefault="00EB06D9" w:rsidP="00EB06D9">
      <w:pPr>
        <w:spacing w:before="120" w:after="120"/>
        <w:ind w:left="360" w:right="12"/>
        <w:jc w:val="both"/>
        <w:rPr>
          <w:rFonts w:asciiTheme="minorHAnsi" w:hAnsiTheme="minorHAnsi"/>
          <w:b/>
          <w:bCs/>
          <w:sz w:val="24"/>
        </w:rPr>
      </w:pPr>
      <w:r w:rsidRPr="00282BFE">
        <w:rPr>
          <w:rFonts w:asciiTheme="minorHAnsi" w:hAnsiTheme="minorHAnsi"/>
          <w:b/>
          <w:bCs/>
          <w:sz w:val="24"/>
        </w:rPr>
        <w:t>Fee remission:</w:t>
      </w:r>
      <w:r w:rsidRPr="00282BFE">
        <w:rPr>
          <w:rFonts w:asciiTheme="minorHAnsi" w:hAnsiTheme="minorHAnsi"/>
          <w:sz w:val="24"/>
        </w:rPr>
        <w:t xml:space="preserve"> The fee remission is a means by which a student’s fees are assessed at the prescribed tuition rate and offset by funds from some other source.</w:t>
      </w:r>
    </w:p>
    <w:p w14:paraId="71645A5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First-time student:</w:t>
      </w:r>
      <w:r w:rsidRPr="00282BFE">
        <w:rPr>
          <w:rFonts w:asciiTheme="minorHAnsi" w:hAnsiTheme="minorHAnsi"/>
          <w:sz w:val="24"/>
        </w:rPr>
        <w:t xml:space="preserve"> A student attending any institution for the first time. Includes students enrolled in the WINTER &amp; SPRING TERMS who attended a postsecondary institution for the first time at the same level in the prior summer term. Also includes students who entered with advanced standing (college credit earned before graduation from high school). </w:t>
      </w:r>
    </w:p>
    <w:p w14:paraId="31EB98D9"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First-time, first-year (freshman) student:</w:t>
      </w:r>
      <w:r w:rsidRPr="00282BFE">
        <w:rPr>
          <w:rFonts w:asciiTheme="minorHAnsi" w:hAnsiTheme="minorHAnsi"/>
          <w:sz w:val="24"/>
        </w:rPr>
        <w:t xml:space="preserve"> A student attending any institution for the first time at the </w:t>
      </w:r>
      <w:r>
        <w:rPr>
          <w:rFonts w:asciiTheme="minorHAnsi" w:hAnsiTheme="minorHAnsi"/>
          <w:sz w:val="24"/>
        </w:rPr>
        <w:t>undergraduate</w:t>
      </w:r>
      <w:r w:rsidRPr="00282BFE">
        <w:rPr>
          <w:rFonts w:asciiTheme="minorHAnsi" w:hAnsiTheme="minorHAnsi"/>
          <w:sz w:val="24"/>
        </w:rPr>
        <w:t xml:space="preserve"> level. Includes students enrolled in the WINTER &amp; SPRING TERMS who attended college for the first time in the prior summer term. Also includes students who entered with advanced standing (college credits earned before graduation from high school). </w:t>
      </w:r>
    </w:p>
    <w:p w14:paraId="36538870"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Freshman:</w:t>
      </w:r>
      <w:r w:rsidRPr="00282BFE">
        <w:rPr>
          <w:rFonts w:asciiTheme="minorHAnsi" w:hAnsiTheme="minorHAnsi"/>
          <w:sz w:val="24"/>
        </w:rPr>
        <w:t xml:space="preserve"> A first-year </w:t>
      </w:r>
      <w:r>
        <w:rPr>
          <w:rFonts w:asciiTheme="minorHAnsi" w:hAnsiTheme="minorHAnsi"/>
          <w:sz w:val="24"/>
        </w:rPr>
        <w:t>undergraduate</w:t>
      </w:r>
      <w:r w:rsidRPr="00282BFE">
        <w:rPr>
          <w:rFonts w:asciiTheme="minorHAnsi" w:hAnsiTheme="minorHAnsi"/>
          <w:sz w:val="24"/>
        </w:rPr>
        <w:t xml:space="preserve"> student. </w:t>
      </w:r>
    </w:p>
    <w:p w14:paraId="3DA5EEBB"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Freshman/new student orientation:</w:t>
      </w:r>
      <w:r w:rsidRPr="00282BFE">
        <w:rPr>
          <w:rFonts w:asciiTheme="minorHAnsi" w:hAnsiTheme="minorHAnsi"/>
          <w:sz w:val="24"/>
        </w:rPr>
        <w:t xml:space="preserve"> Orientation addressing the academic, social, emotional, and intellectual issues involved in beginning college. May be a few hours or a few days in length. There is commonly a fee associated with this program. </w:t>
      </w:r>
    </w:p>
    <w:p w14:paraId="21C43EB2"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Full-time student (Undergraduate):</w:t>
      </w:r>
      <w:r w:rsidRPr="00282BFE">
        <w:rPr>
          <w:rFonts w:asciiTheme="minorHAnsi" w:hAnsiTheme="minorHAnsi"/>
          <w:sz w:val="24"/>
        </w:rPr>
        <w:t xml:space="preserve"> A student enrolled for 12 or more quarter credit hours.</w:t>
      </w:r>
    </w:p>
    <w:p w14:paraId="00A60670"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Geographical residence (as an admission factor):</w:t>
      </w:r>
      <w:r w:rsidRPr="00282BFE">
        <w:rPr>
          <w:rFonts w:asciiTheme="minorHAnsi" w:hAnsiTheme="minorHAnsi"/>
          <w:sz w:val="24"/>
        </w:rPr>
        <w:t xml:space="preserve"> Special consideration in the admission process given to students from a particular region, state, or country of residence. </w:t>
      </w:r>
    </w:p>
    <w:p w14:paraId="7C51AD02"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Grade point average (GPA):</w:t>
      </w:r>
      <w:r w:rsidRPr="00282BFE">
        <w:rPr>
          <w:rFonts w:asciiTheme="minorHAnsi" w:hAnsiTheme="minorHAnsi"/>
          <w:sz w:val="24"/>
        </w:rPr>
        <w:t xml:space="preserve"> The sum of grade points a student has earned divided by the number of courses taken. The most common system of assigning numbers to grades counts four points for an A, three points for a B, two points for a C, one point for a D, and zero points for an I, W, P, or F. </w:t>
      </w:r>
    </w:p>
    <w:p w14:paraId="64671A04"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lastRenderedPageBreak/>
        <w:t>Graduate assistant:</w:t>
      </w:r>
      <w:r w:rsidRPr="00282BFE">
        <w:rPr>
          <w:rFonts w:asciiTheme="minorHAnsi" w:hAnsiTheme="minorHAnsi"/>
          <w:sz w:val="24"/>
        </w:rPr>
        <w:t xml:space="preserve"> Qualified students who are participating in a post-baccalaureate program and who have been appointed by an institution to assist in teaching courses. </w:t>
      </w:r>
    </w:p>
    <w:p w14:paraId="625DED3C"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Graduate student:</w:t>
      </w:r>
      <w:r w:rsidRPr="00282BFE">
        <w:rPr>
          <w:rFonts w:asciiTheme="minorHAnsi" w:hAnsiTheme="minorHAnsi"/>
          <w:sz w:val="24"/>
        </w:rPr>
        <w:t xml:space="preserve"> A student who holds a bachelor's or first professional degree, or equivalent, and is taking courses at the post-baccalaureate level. </w:t>
      </w:r>
    </w:p>
    <w:p w14:paraId="4862F236"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Health services:</w:t>
      </w:r>
      <w:r w:rsidRPr="00282BFE">
        <w:rPr>
          <w:rFonts w:asciiTheme="minorHAnsi" w:hAnsiTheme="minorHAnsi"/>
          <w:sz w:val="24"/>
        </w:rPr>
        <w:t xml:space="preserve"> Low cost, on-campus, health care available to all full-time admitted students as well as part-time students who choose to exercise this option. </w:t>
      </w:r>
    </w:p>
    <w:p w14:paraId="16F2CC2C"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Health services fee:</w:t>
      </w:r>
      <w:r w:rsidRPr="00282BFE">
        <w:rPr>
          <w:rFonts w:asciiTheme="minorHAnsi" w:hAnsiTheme="minorHAnsi"/>
          <w:sz w:val="24"/>
        </w:rPr>
        <w:t xml:space="preserve"> This fee provides for each institution’s student health services, which are operated similarly to self-supported auxiliary services.</w:t>
      </w:r>
    </w:p>
    <w:p w14:paraId="7B8F838E"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High school diploma or recognized equivalent:</w:t>
      </w:r>
      <w:r w:rsidRPr="00282BFE">
        <w:rPr>
          <w:rFonts w:asciiTheme="minorHAnsi" w:hAnsiTheme="minorHAnsi"/>
          <w:sz w:val="24"/>
        </w:rPr>
        <w:t xml:space="preserve"> A document certifying the successful completion of a prescribed secondary school program of studies, or the attainment of satisfactory scores on the Test of General Educational Development (GED), or another state specified examination. </w:t>
      </w:r>
    </w:p>
    <w:p w14:paraId="4BB6DB0B"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 xml:space="preserve">Home institution: </w:t>
      </w:r>
      <w:r w:rsidRPr="00282BFE">
        <w:rPr>
          <w:rFonts w:asciiTheme="minorHAnsi" w:hAnsiTheme="minorHAnsi"/>
          <w:bCs/>
          <w:sz w:val="24"/>
        </w:rPr>
        <w:t xml:space="preserve">Institution to which the student is formally admitted and matriculated in a degree program, regardless of where the student is enrolled. In the case where the student is working toward degrees from two institutions within the Oregon University System at the same time, either institution may be considered the </w:t>
      </w:r>
      <w:r w:rsidRPr="00282BFE">
        <w:rPr>
          <w:rFonts w:asciiTheme="minorHAnsi" w:hAnsiTheme="minorHAnsi"/>
          <w:bCs/>
          <w:i/>
          <w:sz w:val="24"/>
        </w:rPr>
        <w:t>home</w:t>
      </w:r>
      <w:r w:rsidRPr="00282BFE">
        <w:rPr>
          <w:rFonts w:asciiTheme="minorHAnsi" w:hAnsiTheme="minorHAnsi"/>
          <w:bCs/>
          <w:sz w:val="24"/>
        </w:rPr>
        <w:t xml:space="preserve"> institution.</w:t>
      </w:r>
    </w:p>
    <w:p w14:paraId="40FE0399"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Honors program:</w:t>
      </w:r>
      <w:r w:rsidRPr="00282BFE">
        <w:rPr>
          <w:rFonts w:asciiTheme="minorHAnsi" w:hAnsiTheme="minorHAnsi"/>
          <w:sz w:val="24"/>
        </w:rPr>
        <w:t xml:space="preserve"> Any special program for accomplished students offering the opportunity for educational enrichment, independent study, acceleration, or some combination of these. </w:t>
      </w:r>
    </w:p>
    <w:p w14:paraId="6BDCCCD0"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 xml:space="preserve">Host institution: </w:t>
      </w:r>
      <w:r w:rsidRPr="00282BFE">
        <w:rPr>
          <w:rFonts w:asciiTheme="minorHAnsi" w:hAnsiTheme="minorHAnsi"/>
          <w:bCs/>
          <w:sz w:val="24"/>
        </w:rPr>
        <w:t>Institution to which the student is taking coursework necessary to complete a degree program which is unavailable at the home institution.</w:t>
      </w:r>
    </w:p>
    <w:p w14:paraId="10AA254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Incidental fee:</w:t>
      </w:r>
      <w:r w:rsidRPr="00282BFE">
        <w:rPr>
          <w:rFonts w:asciiTheme="minorHAnsi" w:hAnsiTheme="minorHAnsi"/>
          <w:sz w:val="24"/>
        </w:rPr>
        <w:t xml:space="preserve"> This fee is assessed to provide support for student activities. Student committees make recommendations for the amount and use of the fee on each campus.</w:t>
      </w:r>
    </w:p>
    <w:p w14:paraId="6A65B770"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In-state tuition:</w:t>
      </w:r>
      <w:r w:rsidRPr="00282BFE">
        <w:rPr>
          <w:rFonts w:asciiTheme="minorHAnsi" w:hAnsiTheme="minorHAnsi"/>
          <w:sz w:val="24"/>
        </w:rPr>
        <w:t xml:space="preserve"> See </w:t>
      </w:r>
      <w:r w:rsidRPr="00282BFE">
        <w:rPr>
          <w:rFonts w:asciiTheme="minorHAnsi" w:hAnsiTheme="minorHAnsi"/>
          <w:b/>
          <w:sz w:val="24"/>
        </w:rPr>
        <w:t>Resident tuition.</w:t>
      </w:r>
    </w:p>
    <w:p w14:paraId="5B3B33EE" w14:textId="77777777" w:rsidR="00EB06D9"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International students:</w:t>
      </w:r>
      <w:r w:rsidRPr="00282BFE">
        <w:rPr>
          <w:rFonts w:asciiTheme="minorHAnsi" w:hAnsiTheme="minorHAnsi"/>
          <w:sz w:val="24"/>
        </w:rPr>
        <w:t xml:space="preserve"> See </w:t>
      </w:r>
      <w:r w:rsidRPr="00282BFE">
        <w:rPr>
          <w:rFonts w:asciiTheme="minorHAnsi" w:hAnsiTheme="minorHAnsi"/>
          <w:b/>
          <w:bCs/>
          <w:sz w:val="24"/>
        </w:rPr>
        <w:t>Nonresident tuition.</w:t>
      </w:r>
      <w:r w:rsidRPr="00282BFE">
        <w:rPr>
          <w:rFonts w:asciiTheme="minorHAnsi" w:hAnsiTheme="minorHAnsi"/>
          <w:sz w:val="24"/>
        </w:rPr>
        <w:t xml:space="preserve"> </w:t>
      </w:r>
    </w:p>
    <w:p w14:paraId="09440F0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Internship:</w:t>
      </w:r>
      <w:r w:rsidRPr="00282BFE">
        <w:rPr>
          <w:rFonts w:asciiTheme="minorHAnsi" w:hAnsiTheme="minorHAnsi"/>
          <w:sz w:val="24"/>
        </w:rPr>
        <w:t xml:space="preserve"> Any short-term, supervised work experience usually related to a student's major field, for which the student earns academic credit. The work can be full- or part-time, on- or off-campus, paid or unpaid. </w:t>
      </w:r>
    </w:p>
    <w:p w14:paraId="1302142E"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Mandatory enrollment fees:</w:t>
      </w:r>
      <w:r w:rsidRPr="00282BFE">
        <w:rPr>
          <w:rFonts w:asciiTheme="minorHAnsi" w:hAnsiTheme="minorHAnsi"/>
          <w:sz w:val="24"/>
        </w:rPr>
        <w:t xml:space="preserve"> Fees that are assessed to all full and part-time students as listed in the Academic Year or Summer Session Fee Books. Fees included in this category are: Building, Health Service, Incidental and Recreation Center.</w:t>
      </w:r>
    </w:p>
    <w:p w14:paraId="51CCF3D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Master's degree:</w:t>
      </w:r>
      <w:r w:rsidRPr="00282BFE">
        <w:rPr>
          <w:rFonts w:asciiTheme="minorHAnsi" w:hAnsiTheme="minorHAnsi"/>
          <w:sz w:val="24"/>
        </w:rPr>
        <w:t xml:space="preserve"> An award that requires the successful completion of a program of study beyond the bachelor's degree. </w:t>
      </w:r>
    </w:p>
    <w:p w14:paraId="3EB4463E"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Nonresident tuition:</w:t>
      </w:r>
      <w:r w:rsidRPr="00282BFE">
        <w:rPr>
          <w:rFonts w:asciiTheme="minorHAnsi" w:hAnsiTheme="minorHAnsi"/>
          <w:sz w:val="24"/>
        </w:rPr>
        <w:t xml:space="preserve"> The tuition charged by institutions to those students who </w:t>
      </w:r>
      <w:r w:rsidRPr="00282BFE">
        <w:rPr>
          <w:rFonts w:asciiTheme="minorHAnsi" w:hAnsiTheme="minorHAnsi"/>
          <w:b/>
          <w:sz w:val="24"/>
        </w:rPr>
        <w:t>do not</w:t>
      </w:r>
      <w:r w:rsidRPr="00282BFE">
        <w:rPr>
          <w:rFonts w:asciiTheme="minorHAnsi" w:hAnsiTheme="minorHAnsi"/>
          <w:sz w:val="24"/>
        </w:rPr>
        <w:t xml:space="preserve"> meet Oregon residency requirements.</w:t>
      </w:r>
    </w:p>
    <w:p w14:paraId="24F79403"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On-campus day care:</w:t>
      </w:r>
      <w:r w:rsidRPr="00282BFE">
        <w:rPr>
          <w:rFonts w:asciiTheme="minorHAnsi" w:hAnsiTheme="minorHAnsi"/>
          <w:sz w:val="24"/>
        </w:rPr>
        <w:t xml:space="preserve"> Licensed day care for students' children (usually age 3 and up); usually for a fee.</w:t>
      </w:r>
    </w:p>
    <w:p w14:paraId="48F6089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Open enrollment:</w:t>
      </w:r>
      <w:r w:rsidRPr="00282BFE">
        <w:rPr>
          <w:rFonts w:asciiTheme="minorHAnsi" w:hAnsiTheme="minorHAnsi"/>
          <w:sz w:val="24"/>
        </w:rPr>
        <w:t xml:space="preserve"> Enrollment for course credits that is available to all qualified students (it is understood that enrollment in certain courses may be subject to requirements e.g., successful completion of prerequisites, grade point average, instructor’s consent, etc.). </w:t>
      </w:r>
    </w:p>
    <w:p w14:paraId="21B53A7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Other expenses (costs):</w:t>
      </w:r>
      <w:r w:rsidRPr="00282BFE">
        <w:rPr>
          <w:rFonts w:asciiTheme="minorHAnsi" w:hAnsiTheme="minorHAnsi"/>
          <w:sz w:val="24"/>
        </w:rPr>
        <w:t xml:space="preserve"> Includes average costs for clothing, laundry, entertainment, medical (if not a required fee), and furnishings. </w:t>
      </w:r>
    </w:p>
    <w:p w14:paraId="4091A3E1"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Out-of-state tuition:</w:t>
      </w:r>
      <w:r w:rsidRPr="00282BFE">
        <w:rPr>
          <w:rFonts w:asciiTheme="minorHAnsi" w:hAnsiTheme="minorHAnsi"/>
          <w:sz w:val="24"/>
        </w:rPr>
        <w:t xml:space="preserve"> See </w:t>
      </w:r>
      <w:r w:rsidRPr="00282BFE">
        <w:rPr>
          <w:rFonts w:asciiTheme="minorHAnsi" w:hAnsiTheme="minorHAnsi"/>
          <w:b/>
          <w:sz w:val="24"/>
        </w:rPr>
        <w:t>Nonresident tuition.</w:t>
      </w:r>
    </w:p>
    <w:p w14:paraId="2E48B9BE"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Part-time student (Undergraduate):</w:t>
      </w:r>
      <w:r w:rsidRPr="00282BFE">
        <w:rPr>
          <w:rFonts w:asciiTheme="minorHAnsi" w:hAnsiTheme="minorHAnsi"/>
          <w:sz w:val="24"/>
        </w:rPr>
        <w:t xml:space="preserve"> A student enrolled for 1-8 credit hours per quarter.</w:t>
      </w:r>
    </w:p>
    <w:p w14:paraId="370A810B"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lastRenderedPageBreak/>
        <w:t xml:space="preserve">Part-time </w:t>
      </w:r>
      <w:r w:rsidRPr="00282BFE">
        <w:rPr>
          <w:rFonts w:asciiTheme="minorHAnsi" w:hAnsiTheme="minorHAnsi"/>
          <w:b/>
          <w:sz w:val="24"/>
        </w:rPr>
        <w:t xml:space="preserve">fee policy: </w:t>
      </w:r>
      <w:r w:rsidRPr="00282BFE">
        <w:rPr>
          <w:rFonts w:asciiTheme="minorHAnsi" w:hAnsiTheme="minorHAnsi"/>
          <w:sz w:val="24"/>
        </w:rPr>
        <w:t>Students enrolled under the part-time student fee policy are subject to the mandatory or course fees appropriate to specific courses taken.</w:t>
      </w:r>
    </w:p>
    <w:p w14:paraId="290566BA"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Per Term:</w:t>
      </w:r>
      <w:r w:rsidRPr="00282BFE">
        <w:rPr>
          <w:rFonts w:asciiTheme="minorHAnsi" w:hAnsiTheme="minorHAnsi"/>
          <w:sz w:val="24"/>
        </w:rPr>
        <w:t xml:space="preserve"> A term is equal to one academic quarter.</w:t>
      </w:r>
    </w:p>
    <w:p w14:paraId="4F42BE58" w14:textId="77777777" w:rsidR="00EB06D9"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Public institution:</w:t>
      </w:r>
      <w:r w:rsidRPr="00282BFE">
        <w:rPr>
          <w:rFonts w:asciiTheme="minorHAnsi" w:hAnsiTheme="minorHAnsi"/>
          <w:sz w:val="24"/>
        </w:rPr>
        <w:t xml:space="preserve"> An educational institution whose programs and activities are operated by publicly elected or appointed officials, and which is supported by public funds. </w:t>
      </w:r>
    </w:p>
    <w:p w14:paraId="4E8D0877" w14:textId="77777777" w:rsidR="00EB06D9" w:rsidRDefault="00EB06D9" w:rsidP="00EB06D9">
      <w:pPr>
        <w:spacing w:before="120" w:after="120"/>
        <w:ind w:left="360" w:right="12"/>
        <w:jc w:val="both"/>
        <w:rPr>
          <w:rFonts w:asciiTheme="minorHAnsi" w:hAnsiTheme="minorHAnsi"/>
          <w:bCs/>
          <w:sz w:val="24"/>
        </w:rPr>
      </w:pPr>
      <w:r w:rsidRPr="00657A22">
        <w:rPr>
          <w:rFonts w:asciiTheme="minorHAnsi" w:hAnsiTheme="minorHAnsi"/>
          <w:b/>
          <w:bCs/>
          <w:sz w:val="24"/>
        </w:rPr>
        <w:t>Public universities:</w:t>
      </w:r>
      <w:r>
        <w:rPr>
          <w:rFonts w:asciiTheme="minorHAnsi" w:hAnsiTheme="minorHAnsi"/>
          <w:bCs/>
          <w:sz w:val="24"/>
        </w:rPr>
        <w:t xml:space="preserve">  As defined by ORS 352.002:</w:t>
      </w:r>
    </w:p>
    <w:p w14:paraId="138A968C" w14:textId="77777777" w:rsidR="00EB06D9" w:rsidRDefault="00EB06D9" w:rsidP="00EB06D9">
      <w:pPr>
        <w:pStyle w:val="ListParagraph"/>
        <w:numPr>
          <w:ilvl w:val="0"/>
          <w:numId w:val="38"/>
        </w:numPr>
        <w:spacing w:before="120" w:after="120"/>
        <w:ind w:right="14"/>
        <w:contextualSpacing/>
        <w:jc w:val="both"/>
        <w:rPr>
          <w:rFonts w:asciiTheme="minorHAnsi" w:hAnsiTheme="minorHAnsi"/>
          <w:sz w:val="24"/>
        </w:rPr>
      </w:pPr>
      <w:r>
        <w:rPr>
          <w:rFonts w:asciiTheme="minorHAnsi" w:hAnsiTheme="minorHAnsi"/>
          <w:sz w:val="24"/>
        </w:rPr>
        <w:t>University of Oregon</w:t>
      </w:r>
    </w:p>
    <w:p w14:paraId="46BE401E" w14:textId="77777777" w:rsidR="00EB06D9" w:rsidRDefault="00EB06D9" w:rsidP="00EB06D9">
      <w:pPr>
        <w:pStyle w:val="ListParagraph"/>
        <w:numPr>
          <w:ilvl w:val="0"/>
          <w:numId w:val="38"/>
        </w:numPr>
        <w:spacing w:before="120" w:after="120"/>
        <w:ind w:right="14"/>
        <w:contextualSpacing/>
        <w:jc w:val="both"/>
        <w:rPr>
          <w:rFonts w:asciiTheme="minorHAnsi" w:hAnsiTheme="minorHAnsi"/>
          <w:sz w:val="24"/>
        </w:rPr>
      </w:pPr>
      <w:r>
        <w:rPr>
          <w:rFonts w:asciiTheme="minorHAnsi" w:hAnsiTheme="minorHAnsi"/>
          <w:sz w:val="24"/>
        </w:rPr>
        <w:t>Oregon State University</w:t>
      </w:r>
    </w:p>
    <w:p w14:paraId="0BAE8EC7" w14:textId="77777777" w:rsidR="00EB06D9" w:rsidRDefault="00EB06D9" w:rsidP="00EB06D9">
      <w:pPr>
        <w:pStyle w:val="ListParagraph"/>
        <w:numPr>
          <w:ilvl w:val="0"/>
          <w:numId w:val="38"/>
        </w:numPr>
        <w:spacing w:before="120" w:after="120"/>
        <w:ind w:right="14"/>
        <w:contextualSpacing/>
        <w:jc w:val="both"/>
        <w:rPr>
          <w:rFonts w:asciiTheme="minorHAnsi" w:hAnsiTheme="minorHAnsi"/>
          <w:sz w:val="24"/>
        </w:rPr>
      </w:pPr>
      <w:r>
        <w:rPr>
          <w:rFonts w:asciiTheme="minorHAnsi" w:hAnsiTheme="minorHAnsi"/>
          <w:sz w:val="24"/>
        </w:rPr>
        <w:t>Portland State University</w:t>
      </w:r>
    </w:p>
    <w:p w14:paraId="42A80D88" w14:textId="77777777" w:rsidR="00EB06D9" w:rsidRDefault="00EB06D9" w:rsidP="00EB06D9">
      <w:pPr>
        <w:pStyle w:val="ListParagraph"/>
        <w:numPr>
          <w:ilvl w:val="0"/>
          <w:numId w:val="38"/>
        </w:numPr>
        <w:spacing w:before="120" w:after="120"/>
        <w:ind w:right="14"/>
        <w:contextualSpacing/>
        <w:jc w:val="both"/>
        <w:rPr>
          <w:rFonts w:asciiTheme="minorHAnsi" w:hAnsiTheme="minorHAnsi"/>
          <w:sz w:val="24"/>
        </w:rPr>
      </w:pPr>
      <w:r>
        <w:rPr>
          <w:rFonts w:asciiTheme="minorHAnsi" w:hAnsiTheme="minorHAnsi"/>
          <w:sz w:val="24"/>
        </w:rPr>
        <w:t>Oregon Institute of Technology</w:t>
      </w:r>
    </w:p>
    <w:p w14:paraId="441BFECF" w14:textId="77777777" w:rsidR="00EB06D9" w:rsidRDefault="00EB06D9" w:rsidP="00EB06D9">
      <w:pPr>
        <w:pStyle w:val="ListParagraph"/>
        <w:numPr>
          <w:ilvl w:val="0"/>
          <w:numId w:val="38"/>
        </w:numPr>
        <w:spacing w:before="120" w:after="120"/>
        <w:ind w:right="14"/>
        <w:contextualSpacing/>
        <w:jc w:val="both"/>
        <w:rPr>
          <w:rFonts w:asciiTheme="minorHAnsi" w:hAnsiTheme="minorHAnsi"/>
          <w:sz w:val="24"/>
        </w:rPr>
      </w:pPr>
      <w:r>
        <w:rPr>
          <w:rFonts w:asciiTheme="minorHAnsi" w:hAnsiTheme="minorHAnsi"/>
          <w:sz w:val="24"/>
        </w:rPr>
        <w:t>Western Oregon University</w:t>
      </w:r>
    </w:p>
    <w:p w14:paraId="010B3454" w14:textId="77777777" w:rsidR="00EB06D9" w:rsidRDefault="00EB06D9" w:rsidP="00EB06D9">
      <w:pPr>
        <w:pStyle w:val="ListParagraph"/>
        <w:numPr>
          <w:ilvl w:val="0"/>
          <w:numId w:val="38"/>
        </w:numPr>
        <w:spacing w:before="120" w:after="120"/>
        <w:ind w:right="14"/>
        <w:contextualSpacing/>
        <w:jc w:val="both"/>
        <w:rPr>
          <w:rFonts w:asciiTheme="minorHAnsi" w:hAnsiTheme="minorHAnsi"/>
          <w:sz w:val="24"/>
        </w:rPr>
      </w:pPr>
      <w:r>
        <w:rPr>
          <w:rFonts w:asciiTheme="minorHAnsi" w:hAnsiTheme="minorHAnsi"/>
          <w:sz w:val="24"/>
        </w:rPr>
        <w:t>Southern Oregon University</w:t>
      </w:r>
    </w:p>
    <w:p w14:paraId="25E327ED" w14:textId="77777777" w:rsidR="00EB06D9" w:rsidRPr="00657A22" w:rsidRDefault="00EB06D9" w:rsidP="00EB06D9">
      <w:pPr>
        <w:pStyle w:val="ListParagraph"/>
        <w:numPr>
          <w:ilvl w:val="0"/>
          <w:numId w:val="38"/>
        </w:numPr>
        <w:spacing w:before="120" w:after="120"/>
        <w:ind w:right="14"/>
        <w:contextualSpacing/>
        <w:jc w:val="both"/>
        <w:rPr>
          <w:rFonts w:asciiTheme="minorHAnsi" w:hAnsiTheme="minorHAnsi"/>
          <w:sz w:val="24"/>
        </w:rPr>
      </w:pPr>
      <w:r>
        <w:rPr>
          <w:rFonts w:asciiTheme="minorHAnsi" w:hAnsiTheme="minorHAnsi"/>
          <w:sz w:val="24"/>
        </w:rPr>
        <w:t>Eastern Oregon University</w:t>
      </w:r>
    </w:p>
    <w:p w14:paraId="167F656D"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Quarter calendar system:</w:t>
      </w:r>
      <w:r w:rsidRPr="00282BFE">
        <w:rPr>
          <w:rFonts w:asciiTheme="minorHAnsi" w:hAnsiTheme="minorHAnsi"/>
          <w:sz w:val="24"/>
        </w:rPr>
        <w:t xml:space="preserve"> An academic calendar system in which the instructional year consists of three academic sessions, called quarters, usually consisting of 10-12 weeks each.</w:t>
      </w:r>
    </w:p>
    <w:p w14:paraId="3062B9AA"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Required fees:</w:t>
      </w:r>
      <w:r w:rsidRPr="00282BFE">
        <w:rPr>
          <w:rFonts w:asciiTheme="minorHAnsi" w:hAnsiTheme="minorHAnsi"/>
          <w:sz w:val="24"/>
        </w:rPr>
        <w:t xml:space="preserve"> Fixed sum charged to all students for items not covered by tuition. These fees do not include fees or optional fees such as lab fees or parking fees. </w:t>
      </w:r>
    </w:p>
    <w:p w14:paraId="56796D49"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 xml:space="preserve">Resident tuition: </w:t>
      </w:r>
      <w:r w:rsidRPr="00282BFE">
        <w:rPr>
          <w:rFonts w:asciiTheme="minorHAnsi" w:hAnsiTheme="minorHAnsi"/>
          <w:sz w:val="24"/>
        </w:rPr>
        <w:t>The tuition charged by institutions to those students who meet state or institutional residency requirements.</w:t>
      </w:r>
    </w:p>
    <w:p w14:paraId="0B626666"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Summer session:</w:t>
      </w:r>
      <w:r w:rsidRPr="00282BFE">
        <w:rPr>
          <w:rFonts w:asciiTheme="minorHAnsi" w:hAnsiTheme="minorHAnsi"/>
          <w:sz w:val="24"/>
        </w:rPr>
        <w:t xml:space="preserve"> A summer session is generally shorter than a regular academic quarter and not considered part of the academic year. An institution may have 2 or more sessions occurring in the summer months. </w:t>
      </w:r>
    </w:p>
    <w:p w14:paraId="58FEFCD1" w14:textId="77777777" w:rsidR="00EB06D9" w:rsidRPr="00282BFE" w:rsidRDefault="00EB06D9" w:rsidP="00EB06D9">
      <w:pPr>
        <w:spacing w:before="120" w:after="120"/>
        <w:ind w:left="360" w:right="12"/>
        <w:rPr>
          <w:rFonts w:asciiTheme="minorHAnsi" w:hAnsiTheme="minorHAnsi"/>
          <w:sz w:val="24"/>
        </w:rPr>
      </w:pPr>
      <w:r w:rsidRPr="00282BFE">
        <w:rPr>
          <w:rFonts w:asciiTheme="minorHAnsi" w:hAnsiTheme="minorHAnsi"/>
          <w:b/>
          <w:sz w:val="24"/>
        </w:rPr>
        <w:t>Tax Relief Act Reporting:</w:t>
      </w:r>
      <w:r w:rsidRPr="00282BFE">
        <w:rPr>
          <w:rFonts w:asciiTheme="minorHAnsi" w:hAnsiTheme="minorHAnsi"/>
          <w:sz w:val="24"/>
        </w:rPr>
        <w:t xml:space="preserve"> The Taxpayer </w:t>
      </w:r>
      <w:r w:rsidRPr="00282BFE">
        <w:rPr>
          <w:rStyle w:val="Emphasis"/>
          <w:rFonts w:asciiTheme="minorHAnsi" w:hAnsiTheme="minorHAnsi"/>
          <w:sz w:val="24"/>
        </w:rPr>
        <w:t>Relief Act</w:t>
      </w:r>
      <w:r w:rsidRPr="00282BFE">
        <w:rPr>
          <w:rFonts w:asciiTheme="minorHAnsi" w:hAnsiTheme="minorHAnsi"/>
          <w:sz w:val="24"/>
        </w:rPr>
        <w:t xml:space="preserve">, enacted in 1997, provides a </w:t>
      </w:r>
      <w:r w:rsidRPr="00282BFE">
        <w:rPr>
          <w:rStyle w:val="Emphasis"/>
          <w:rFonts w:asciiTheme="minorHAnsi" w:hAnsiTheme="minorHAnsi"/>
          <w:i w:val="0"/>
          <w:sz w:val="24"/>
        </w:rPr>
        <w:t>tax</w:t>
      </w:r>
      <w:r w:rsidRPr="00282BFE">
        <w:rPr>
          <w:rFonts w:asciiTheme="minorHAnsi" w:hAnsiTheme="minorHAnsi"/>
          <w:sz w:val="24"/>
        </w:rPr>
        <w:t xml:space="preserve"> benefit deduction of interest assessed on education loans for students and their families. The</w:t>
      </w:r>
      <w:r w:rsidRPr="00282BFE">
        <w:rPr>
          <w:rFonts w:asciiTheme="minorHAnsi" w:hAnsiTheme="minorHAnsi"/>
          <w:b/>
          <w:bCs/>
          <w:sz w:val="24"/>
        </w:rPr>
        <w:t xml:space="preserve"> </w:t>
      </w:r>
      <w:r w:rsidRPr="00282BFE">
        <w:rPr>
          <w:rStyle w:val="Emphasis"/>
          <w:rFonts w:asciiTheme="minorHAnsi" w:hAnsiTheme="minorHAnsi"/>
          <w:sz w:val="24"/>
        </w:rPr>
        <w:t>Relief Act</w:t>
      </w:r>
      <w:r w:rsidRPr="00282BFE">
        <w:rPr>
          <w:rFonts w:asciiTheme="minorHAnsi" w:hAnsiTheme="minorHAnsi"/>
          <w:sz w:val="24"/>
        </w:rPr>
        <w:t xml:space="preserve"> specifically excludes books, student </w:t>
      </w:r>
      <w:r w:rsidRPr="00282BFE">
        <w:rPr>
          <w:rStyle w:val="Emphasis"/>
          <w:rFonts w:asciiTheme="minorHAnsi" w:hAnsiTheme="minorHAnsi"/>
          <w:i w:val="0"/>
          <w:sz w:val="24"/>
        </w:rPr>
        <w:t>health insurance</w:t>
      </w:r>
      <w:r w:rsidRPr="00282BFE">
        <w:rPr>
          <w:rFonts w:asciiTheme="minorHAnsi" w:hAnsiTheme="minorHAnsi"/>
          <w:sz w:val="24"/>
        </w:rPr>
        <w:t xml:space="preserve">, room and board, and other incidental expenses. </w:t>
      </w:r>
    </w:p>
    <w:p w14:paraId="4935CCBF"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Transfer applicant:</w:t>
      </w:r>
      <w:r w:rsidRPr="00282BFE">
        <w:rPr>
          <w:rFonts w:asciiTheme="minorHAnsi" w:hAnsiTheme="minorHAnsi"/>
          <w:sz w:val="24"/>
        </w:rPr>
        <w:t xml:space="preserve"> An individual who has fulfilled the institution's requirements to be considered for admission (including payment or waiving of the application fee, if any) and who has previously attended another college or university and earned college level credit. </w:t>
      </w:r>
    </w:p>
    <w:p w14:paraId="2FFC87AA"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Transfer student:</w:t>
      </w:r>
      <w:r w:rsidRPr="00282BFE">
        <w:rPr>
          <w:rFonts w:asciiTheme="minorHAnsi" w:hAnsiTheme="minorHAnsi"/>
          <w:sz w:val="24"/>
        </w:rPr>
        <w:t xml:space="preserve"> A student entering the institution for the first time but known to have previously attended a postsecondary institution at the same level (e.g., </w:t>
      </w:r>
      <w:r>
        <w:rPr>
          <w:rFonts w:asciiTheme="minorHAnsi" w:hAnsiTheme="minorHAnsi"/>
          <w:sz w:val="24"/>
        </w:rPr>
        <w:t>undergraduate</w:t>
      </w:r>
      <w:r w:rsidRPr="00282BFE">
        <w:rPr>
          <w:rFonts w:asciiTheme="minorHAnsi" w:hAnsiTheme="minorHAnsi"/>
          <w:sz w:val="24"/>
        </w:rPr>
        <w:t xml:space="preserve">). The student may transfer with or without credit. </w:t>
      </w:r>
    </w:p>
    <w:p w14:paraId="05ED5B27"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Tuition:</w:t>
      </w:r>
      <w:r w:rsidRPr="00282BFE">
        <w:rPr>
          <w:rFonts w:asciiTheme="minorHAnsi" w:hAnsiTheme="minorHAnsi"/>
          <w:sz w:val="24"/>
        </w:rPr>
        <w:t xml:space="preserve"> Amount of money charged to students for instructional services. Tuition may be charged per term, per course, or per credit hour. </w:t>
      </w:r>
    </w:p>
    <w:p w14:paraId="7DCEAB33" w14:textId="77777777" w:rsidR="00EB06D9" w:rsidRPr="00282BFE"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Undergraduate:</w:t>
      </w:r>
      <w:r w:rsidRPr="00282BFE">
        <w:rPr>
          <w:rFonts w:asciiTheme="minorHAnsi" w:hAnsiTheme="minorHAnsi"/>
          <w:sz w:val="24"/>
        </w:rPr>
        <w:t xml:space="preserve"> A student enrolled in a bachelor's degree program, an associate degree program, or a vocational or technical program.</w:t>
      </w:r>
    </w:p>
    <w:p w14:paraId="7C8AC107" w14:textId="77777777" w:rsidR="00EB06D9" w:rsidRDefault="00EB06D9" w:rsidP="00EB06D9">
      <w:pPr>
        <w:spacing w:before="120" w:after="120"/>
        <w:ind w:left="360" w:right="12"/>
        <w:jc w:val="both"/>
        <w:rPr>
          <w:rFonts w:asciiTheme="minorHAnsi" w:hAnsiTheme="minorHAnsi"/>
          <w:sz w:val="24"/>
        </w:rPr>
      </w:pPr>
      <w:r w:rsidRPr="00282BFE">
        <w:rPr>
          <w:rFonts w:asciiTheme="minorHAnsi" w:hAnsiTheme="minorHAnsi"/>
          <w:b/>
          <w:bCs/>
          <w:sz w:val="24"/>
        </w:rPr>
        <w:t>Wait list:</w:t>
      </w:r>
      <w:r w:rsidRPr="00282BFE">
        <w:rPr>
          <w:rFonts w:asciiTheme="minorHAnsi" w:hAnsiTheme="minorHAnsi"/>
          <w:sz w:val="24"/>
        </w:rPr>
        <w:t xml:space="preserve"> List of students who meet the admission requirements but will only be offered a place in the class if space becomes available. </w:t>
      </w:r>
      <w:bookmarkEnd w:id="153"/>
      <w:bookmarkEnd w:id="154"/>
      <w:bookmarkEnd w:id="155"/>
    </w:p>
    <w:p w14:paraId="721C3355" w14:textId="77777777" w:rsidR="00737E34" w:rsidRDefault="00737E34" w:rsidP="00737E34">
      <w:pPr>
        <w:rPr>
          <w:rFonts w:asciiTheme="minorHAnsi" w:hAnsiTheme="minorHAnsi"/>
        </w:rPr>
      </w:pPr>
    </w:p>
    <w:sectPr w:rsidR="00737E34" w:rsidSect="00A064CC">
      <w:pgSz w:w="12240" w:h="15840" w:code="1"/>
      <w:pgMar w:top="720" w:right="720" w:bottom="720" w:left="720" w:header="144"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A77B6" w14:textId="77777777" w:rsidR="00B60F40" w:rsidRDefault="00B60F40">
      <w:r>
        <w:separator/>
      </w:r>
    </w:p>
  </w:endnote>
  <w:endnote w:type="continuationSeparator" w:id="0">
    <w:p w14:paraId="187FEAE7" w14:textId="77777777" w:rsidR="00B60F40" w:rsidRDefault="00B6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NewCenturySchlbk-Bold">
    <w:panose1 w:val="00000000000000000000"/>
    <w:charset w:val="00"/>
    <w:family w:val="auto"/>
    <w:notTrueType/>
    <w:pitch w:val="default"/>
    <w:sig w:usb0="00000003" w:usb1="00000000" w:usb2="00000000" w:usb3="00000000" w:csb0="00000001" w:csb1="00000000"/>
  </w:font>
  <w:font w:name="Blue Highway">
    <w:altName w:val="Corbel"/>
    <w:charset w:val="00"/>
    <w:family w:val="auto"/>
    <w:pitch w:val="variable"/>
    <w:sig w:usb0="00000001" w:usb1="0000000A"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C49C2" w14:textId="77777777" w:rsidR="00B60F40" w:rsidRDefault="00B60F40">
      <w:r>
        <w:separator/>
      </w:r>
    </w:p>
  </w:footnote>
  <w:footnote w:type="continuationSeparator" w:id="0">
    <w:p w14:paraId="4F1D5815" w14:textId="77777777" w:rsidR="00B60F40" w:rsidRDefault="00B60F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CD7"/>
    <w:multiLevelType w:val="hybridMultilevel"/>
    <w:tmpl w:val="45948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A52DD"/>
    <w:multiLevelType w:val="hybridMultilevel"/>
    <w:tmpl w:val="816A1FBA"/>
    <w:lvl w:ilvl="0" w:tplc="61A2D8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7234F3"/>
    <w:multiLevelType w:val="hybridMultilevel"/>
    <w:tmpl w:val="E11A2EB6"/>
    <w:lvl w:ilvl="0" w:tplc="D85A8B5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15:restartNumberingAfterBreak="0">
    <w:nsid w:val="0BAF6FD7"/>
    <w:multiLevelType w:val="hybridMultilevel"/>
    <w:tmpl w:val="B35E9154"/>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4D56BB"/>
    <w:multiLevelType w:val="hybridMultilevel"/>
    <w:tmpl w:val="781EBD2A"/>
    <w:lvl w:ilvl="0" w:tplc="78E686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86C4A"/>
    <w:multiLevelType w:val="hybridMultilevel"/>
    <w:tmpl w:val="29006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945BF9"/>
    <w:multiLevelType w:val="hybridMultilevel"/>
    <w:tmpl w:val="7534AE56"/>
    <w:lvl w:ilvl="0" w:tplc="882EDB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75F9D"/>
    <w:multiLevelType w:val="hybridMultilevel"/>
    <w:tmpl w:val="BB900832"/>
    <w:lvl w:ilvl="0" w:tplc="04090005">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87A90"/>
    <w:multiLevelType w:val="hybridMultilevel"/>
    <w:tmpl w:val="8A94EC88"/>
    <w:lvl w:ilvl="0" w:tplc="AC4EB690">
      <w:start w:val="10"/>
      <w:numFmt w:val="decimal"/>
      <w:lvlText w:val="%1."/>
      <w:lvlJc w:val="left"/>
      <w:pPr>
        <w:tabs>
          <w:tab w:val="num" w:pos="885"/>
        </w:tabs>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C1B7F"/>
    <w:multiLevelType w:val="hybridMultilevel"/>
    <w:tmpl w:val="C792DA9C"/>
    <w:lvl w:ilvl="0" w:tplc="2F22A1B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44DC1"/>
    <w:multiLevelType w:val="hybridMultilevel"/>
    <w:tmpl w:val="4998C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41F19"/>
    <w:multiLevelType w:val="hybridMultilevel"/>
    <w:tmpl w:val="D87EEBB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47781"/>
    <w:multiLevelType w:val="hybridMultilevel"/>
    <w:tmpl w:val="B9DCBF8A"/>
    <w:lvl w:ilvl="0" w:tplc="7318F0D2">
      <w:start w:val="1"/>
      <w:numFmt w:val="decimal"/>
      <w:lvlText w:val="%1."/>
      <w:lvlJc w:val="left"/>
      <w:pPr>
        <w:tabs>
          <w:tab w:val="num" w:pos="885"/>
        </w:tabs>
        <w:ind w:left="885" w:hanging="360"/>
      </w:pPr>
      <w:rPr>
        <w:rFonts w:hint="default"/>
      </w:rPr>
    </w:lvl>
    <w:lvl w:ilvl="1" w:tplc="13AAAD72">
      <w:start w:val="5"/>
      <w:numFmt w:val="upp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15:restartNumberingAfterBreak="0">
    <w:nsid w:val="22277B0C"/>
    <w:multiLevelType w:val="hybridMultilevel"/>
    <w:tmpl w:val="8E6080AA"/>
    <w:lvl w:ilvl="0" w:tplc="55D6759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0B1664"/>
    <w:multiLevelType w:val="hybridMultilevel"/>
    <w:tmpl w:val="8324A2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25D22877"/>
    <w:multiLevelType w:val="hybridMultilevel"/>
    <w:tmpl w:val="170A534A"/>
    <w:lvl w:ilvl="0" w:tplc="4354693A">
      <w:start w:val="1"/>
      <w:numFmt w:val="upperRoman"/>
      <w:lvlText w:val="%1."/>
      <w:lvlJc w:val="left"/>
      <w:pPr>
        <w:tabs>
          <w:tab w:val="num" w:pos="900"/>
        </w:tabs>
        <w:ind w:left="900" w:hanging="720"/>
      </w:pPr>
      <w:rPr>
        <w:rFonts w:hint="default"/>
      </w:rPr>
    </w:lvl>
    <w:lvl w:ilvl="1" w:tplc="B4524694">
      <w:start w:val="1"/>
      <w:numFmt w:val="bullet"/>
      <w:lvlText w:val=""/>
      <w:lvlJc w:val="left"/>
      <w:pPr>
        <w:tabs>
          <w:tab w:val="num" w:pos="1440"/>
        </w:tabs>
        <w:ind w:left="1440" w:hanging="360"/>
      </w:pPr>
      <w:rPr>
        <w:rFonts w:ascii="Wingdings" w:hAnsi="Wingdings" w:hint="default"/>
        <w:sz w:val="16"/>
      </w:rPr>
    </w:lvl>
    <w:lvl w:ilvl="2" w:tplc="4354693A">
      <w:start w:val="1"/>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BC5F4E"/>
    <w:multiLevelType w:val="hybridMultilevel"/>
    <w:tmpl w:val="00D09E2E"/>
    <w:lvl w:ilvl="0" w:tplc="E1D08D20">
      <w:start w:val="2"/>
      <w:numFmt w:val="upperLetter"/>
      <w:lvlText w:val="%1."/>
      <w:lvlJc w:val="left"/>
      <w:pPr>
        <w:tabs>
          <w:tab w:val="num" w:pos="1440"/>
        </w:tabs>
        <w:ind w:left="1440" w:hanging="720"/>
      </w:pPr>
      <w:rPr>
        <w:rFonts w:hint="default"/>
      </w:rPr>
    </w:lvl>
    <w:lvl w:ilvl="1" w:tplc="5BD213D6">
      <w:start w:val="1"/>
      <w:numFmt w:val="decimal"/>
      <w:lvlText w:val="%2."/>
      <w:lvlJc w:val="left"/>
      <w:pPr>
        <w:tabs>
          <w:tab w:val="num" w:pos="2160"/>
        </w:tabs>
        <w:ind w:left="2160" w:hanging="720"/>
      </w:pPr>
      <w:rPr>
        <w:rFonts w:hint="default"/>
      </w:rPr>
    </w:lvl>
    <w:lvl w:ilvl="2" w:tplc="0409000F">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23724C1"/>
    <w:multiLevelType w:val="hybridMultilevel"/>
    <w:tmpl w:val="8C40010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7E683B"/>
    <w:multiLevelType w:val="hybridMultilevel"/>
    <w:tmpl w:val="C978AE1E"/>
    <w:lvl w:ilvl="0" w:tplc="0409000F">
      <w:start w:val="1"/>
      <w:numFmt w:val="decimal"/>
      <w:lvlText w:val="%1."/>
      <w:lvlJc w:val="left"/>
      <w:pPr>
        <w:ind w:left="720" w:hanging="360"/>
      </w:pPr>
      <w:rPr>
        <w:rFonts w:hint="default"/>
      </w:rPr>
    </w:lvl>
    <w:lvl w:ilvl="1" w:tplc="A4606D1C">
      <w:start w:val="1"/>
      <w:numFmt w:val="decimal"/>
      <w:lvlText w:val="%2."/>
      <w:lvlJc w:val="left"/>
      <w:pPr>
        <w:ind w:left="1440" w:hanging="360"/>
      </w:pPr>
      <w:rPr>
        <w:rFonts w:hint="default"/>
        <w:i w:val="0"/>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93423"/>
    <w:multiLevelType w:val="hybridMultilevel"/>
    <w:tmpl w:val="CA943142"/>
    <w:lvl w:ilvl="0" w:tplc="EC365D30">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AF6161"/>
    <w:multiLevelType w:val="hybridMultilevel"/>
    <w:tmpl w:val="A2AE9E52"/>
    <w:lvl w:ilvl="0" w:tplc="8F2AAAB6">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40070A4"/>
    <w:multiLevelType w:val="multilevel"/>
    <w:tmpl w:val="05A04744"/>
    <w:lvl w:ilvl="0">
      <w:start w:val="11"/>
      <w:numFmt w:val="decimal"/>
      <w:lvlText w:val="%1."/>
      <w:lvlJc w:val="left"/>
      <w:pPr>
        <w:tabs>
          <w:tab w:val="num" w:pos="720"/>
        </w:tabs>
        <w:ind w:left="720" w:hanging="360"/>
      </w:pPr>
      <w:rPr>
        <w:rFonts w:hint="default"/>
      </w:rPr>
    </w:lvl>
    <w:lvl w:ilvl="1">
      <w:start w:val="7"/>
      <w:numFmt w:val="low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2"/>
      <w:numFmt w:val="lowerLetter"/>
      <w:lvlText w:val="%4."/>
      <w:lvlJc w:val="left"/>
      <w:pPr>
        <w:ind w:left="0" w:firstLine="0"/>
      </w:pPr>
      <w:rPr>
        <w:rFonts w:hint="default"/>
      </w:rPr>
    </w:lvl>
    <w:lvl w:ilvl="4">
      <w:start w:val="2"/>
      <w:numFmt w:val="lowerLetter"/>
      <w:lvlText w:val="%5."/>
      <w:lvlJc w:val="left"/>
      <w:pPr>
        <w:ind w:left="0" w:firstLine="0"/>
      </w:pPr>
      <w:rPr>
        <w:rFonts w:hint="default"/>
      </w:rPr>
    </w:lvl>
    <w:lvl w:ilvl="5">
      <w:start w:val="2"/>
      <w:numFmt w:val="lowerLetter"/>
      <w:lvlText w:val="%6."/>
      <w:lvlJc w:val="left"/>
      <w:pPr>
        <w:ind w:left="0" w:firstLine="0"/>
      </w:pPr>
      <w:rPr>
        <w:rFonts w:hint="default"/>
      </w:rPr>
    </w:lvl>
    <w:lvl w:ilvl="6">
      <w:start w:val="2"/>
      <w:numFmt w:val="lowerLetter"/>
      <w:lvlText w:val="%7."/>
      <w:lvlJc w:val="left"/>
      <w:pPr>
        <w:ind w:left="0" w:firstLine="0"/>
      </w:pPr>
      <w:rPr>
        <w:rFonts w:hint="default"/>
      </w:rPr>
    </w:lvl>
    <w:lvl w:ilvl="7">
      <w:start w:val="2"/>
      <w:numFmt w:val="lowerLetter"/>
      <w:lvlText w:val="%8."/>
      <w:lvlJc w:val="left"/>
      <w:pPr>
        <w:ind w:left="0" w:firstLine="0"/>
      </w:pPr>
      <w:rPr>
        <w:rFonts w:hint="default"/>
      </w:rPr>
    </w:lvl>
    <w:lvl w:ilvl="8">
      <w:start w:val="2"/>
      <w:numFmt w:val="lowerRoman"/>
      <w:lvlText w:val="%9)"/>
      <w:lvlJc w:val="left"/>
      <w:pPr>
        <w:ind w:left="0" w:firstLine="0"/>
      </w:pPr>
      <w:rPr>
        <w:rFonts w:hint="default"/>
      </w:rPr>
    </w:lvl>
  </w:abstractNum>
  <w:abstractNum w:abstractNumId="22" w15:restartNumberingAfterBreak="0">
    <w:nsid w:val="48541386"/>
    <w:multiLevelType w:val="hybridMultilevel"/>
    <w:tmpl w:val="47D4F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48372F"/>
    <w:multiLevelType w:val="hybridMultilevel"/>
    <w:tmpl w:val="472A7308"/>
    <w:lvl w:ilvl="0" w:tplc="EF843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E95A71"/>
    <w:multiLevelType w:val="hybridMultilevel"/>
    <w:tmpl w:val="B2C272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0A0008"/>
    <w:multiLevelType w:val="hybridMultilevel"/>
    <w:tmpl w:val="C06EBC22"/>
    <w:lvl w:ilvl="0" w:tplc="51882C30">
      <w:start w:val="11"/>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E85546"/>
    <w:multiLevelType w:val="hybridMultilevel"/>
    <w:tmpl w:val="8AE878C6"/>
    <w:lvl w:ilvl="0" w:tplc="AFEA591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BD42B30"/>
    <w:multiLevelType w:val="hybridMultilevel"/>
    <w:tmpl w:val="99862E04"/>
    <w:lvl w:ilvl="0" w:tplc="E1D08D20">
      <w:start w:val="2"/>
      <w:numFmt w:val="upperLetter"/>
      <w:lvlText w:val="%1."/>
      <w:lvlJc w:val="left"/>
      <w:pPr>
        <w:tabs>
          <w:tab w:val="num" w:pos="1440"/>
        </w:tabs>
        <w:ind w:left="1440" w:hanging="720"/>
      </w:pPr>
      <w:rPr>
        <w:rFonts w:hint="default"/>
      </w:rPr>
    </w:lvl>
    <w:lvl w:ilvl="1" w:tplc="5BD213D6">
      <w:start w:val="1"/>
      <w:numFmt w:val="decimal"/>
      <w:lvlText w:val="%2."/>
      <w:lvlJc w:val="left"/>
      <w:pPr>
        <w:tabs>
          <w:tab w:val="num" w:pos="2160"/>
        </w:tabs>
        <w:ind w:left="2160" w:hanging="720"/>
      </w:pPr>
      <w:rPr>
        <w:rFonts w:hint="default"/>
      </w:rPr>
    </w:lvl>
    <w:lvl w:ilvl="2" w:tplc="4354693A">
      <w:start w:val="1"/>
      <w:numFmt w:val="upperRoman"/>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0446C78"/>
    <w:multiLevelType w:val="hybridMultilevel"/>
    <w:tmpl w:val="42843AD8"/>
    <w:lvl w:ilvl="0" w:tplc="7728BF54">
      <w:start w:val="1"/>
      <w:numFmt w:val="bullet"/>
      <w:lvlText w:val="▪"/>
      <w:lvlJc w:val="left"/>
      <w:pPr>
        <w:tabs>
          <w:tab w:val="num" w:pos="720"/>
        </w:tabs>
        <w:ind w:left="720" w:hanging="360"/>
      </w:pPr>
      <w:rPr>
        <w:rFonts w:ascii="Tahoma" w:hAnsi="Tahoma" w:hint="default"/>
        <w:b w:val="0"/>
        <w:i w:val="0"/>
        <w:color w:val="auto"/>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3C7347"/>
    <w:multiLevelType w:val="multilevel"/>
    <w:tmpl w:val="9D460EC6"/>
    <w:lvl w:ilvl="0">
      <w:start w:val="1"/>
      <w:numFmt w:val="lowerLetter"/>
      <w:lvlText w:val="%1."/>
      <w:lvlJc w:val="left"/>
      <w:pPr>
        <w:tabs>
          <w:tab w:val="num" w:pos="720"/>
        </w:tabs>
        <w:ind w:left="720" w:hanging="360"/>
      </w:pPr>
      <w:rPr>
        <w:rFonts w:hint="default"/>
      </w:rPr>
    </w:lvl>
    <w:lvl w:ilvl="1">
      <w:start w:val="7"/>
      <w:numFmt w:val="lowerLetter"/>
      <w:lvlText w:val="%2."/>
      <w:legacy w:legacy="1" w:legacySpace="0" w:legacyIndent="0"/>
      <w:lvlJc w:val="left"/>
      <w:pPr>
        <w:ind w:left="0" w:firstLine="0"/>
      </w:pPr>
    </w:lvl>
    <w:lvl w:ilvl="2">
      <w:start w:val="1"/>
      <w:numFmt w:val="lowerLetter"/>
      <w:lvlText w:val="%3."/>
      <w:legacy w:legacy="1" w:legacySpace="0" w:legacyIndent="0"/>
      <w:lvlJc w:val="left"/>
      <w:pPr>
        <w:ind w:left="0" w:firstLine="0"/>
      </w:pPr>
    </w:lvl>
    <w:lvl w:ilvl="3">
      <w:start w:val="2"/>
      <w:numFmt w:val="lowerLetter"/>
      <w:lvlText w:val="%4."/>
      <w:legacy w:legacy="1" w:legacySpace="0" w:legacyIndent="0"/>
      <w:lvlJc w:val="left"/>
      <w:pPr>
        <w:ind w:left="0" w:firstLine="0"/>
      </w:pPr>
    </w:lvl>
    <w:lvl w:ilvl="4">
      <w:start w:val="2"/>
      <w:numFmt w:val="lowerLetter"/>
      <w:lvlText w:val="%5."/>
      <w:legacy w:legacy="1" w:legacySpace="0" w:legacyIndent="0"/>
      <w:lvlJc w:val="left"/>
      <w:pPr>
        <w:ind w:left="0" w:firstLine="0"/>
      </w:pPr>
    </w:lvl>
    <w:lvl w:ilvl="5">
      <w:start w:val="2"/>
      <w:numFmt w:val="lowerLetter"/>
      <w:lvlText w:val="%6."/>
      <w:legacy w:legacy="1" w:legacySpace="0" w:legacyIndent="0"/>
      <w:lvlJc w:val="left"/>
      <w:pPr>
        <w:ind w:left="0" w:firstLine="0"/>
      </w:pPr>
    </w:lvl>
    <w:lvl w:ilvl="6">
      <w:start w:val="2"/>
      <w:numFmt w:val="lowerLetter"/>
      <w:lvlText w:val="%7."/>
      <w:legacy w:legacy="1" w:legacySpace="0" w:legacyIndent="0"/>
      <w:lvlJc w:val="left"/>
      <w:pPr>
        <w:ind w:left="0" w:firstLine="0"/>
      </w:pPr>
    </w:lvl>
    <w:lvl w:ilvl="7">
      <w:start w:val="2"/>
      <w:numFmt w:val="lowerLetter"/>
      <w:lvlText w:val="%8."/>
      <w:legacy w:legacy="1" w:legacySpace="0" w:legacyIndent="0"/>
      <w:lvlJc w:val="left"/>
      <w:pPr>
        <w:ind w:left="0" w:firstLine="0"/>
      </w:pPr>
    </w:lvl>
    <w:lvl w:ilvl="8">
      <w:start w:val="2"/>
      <w:numFmt w:val="lowerRoman"/>
      <w:lvlText w:val="%9)"/>
      <w:legacy w:legacy="1" w:legacySpace="0" w:legacyIndent="0"/>
      <w:lvlJc w:val="left"/>
      <w:pPr>
        <w:ind w:left="0" w:firstLine="0"/>
      </w:pPr>
    </w:lvl>
  </w:abstractNum>
  <w:abstractNum w:abstractNumId="30" w15:restartNumberingAfterBreak="0">
    <w:nsid w:val="62AA6B04"/>
    <w:multiLevelType w:val="hybridMultilevel"/>
    <w:tmpl w:val="9A88CC7E"/>
    <w:lvl w:ilvl="0" w:tplc="A4606D1C">
      <w:start w:val="1"/>
      <w:numFmt w:val="decimal"/>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0267D"/>
    <w:multiLevelType w:val="hybridMultilevel"/>
    <w:tmpl w:val="78805796"/>
    <w:lvl w:ilvl="0" w:tplc="7728BF54">
      <w:start w:val="1"/>
      <w:numFmt w:val="bullet"/>
      <w:lvlText w:val="▪"/>
      <w:lvlJc w:val="left"/>
      <w:pPr>
        <w:tabs>
          <w:tab w:val="num" w:pos="720"/>
        </w:tabs>
        <w:ind w:left="720" w:hanging="360"/>
      </w:pPr>
      <w:rPr>
        <w:rFonts w:ascii="Tahoma" w:hAnsi="Tahoma" w:hint="default"/>
        <w:b w:val="0"/>
        <w:i w:val="0"/>
        <w:color w:val="auto"/>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162DD9"/>
    <w:multiLevelType w:val="hybridMultilevel"/>
    <w:tmpl w:val="5596F1B8"/>
    <w:lvl w:ilvl="0" w:tplc="0409000F">
      <w:start w:val="1"/>
      <w:numFmt w:val="decimal"/>
      <w:lvlText w:val="%1."/>
      <w:lvlJc w:val="left"/>
      <w:pPr>
        <w:ind w:left="720" w:hanging="360"/>
      </w:pPr>
      <w:rPr>
        <w:rFonts w:hint="default"/>
      </w:rPr>
    </w:lvl>
    <w:lvl w:ilvl="1" w:tplc="A4606D1C">
      <w:start w:val="1"/>
      <w:numFmt w:val="decimal"/>
      <w:lvlText w:val="%2."/>
      <w:lvlJc w:val="left"/>
      <w:pPr>
        <w:ind w:left="1440" w:hanging="360"/>
      </w:pPr>
      <w:rPr>
        <w:rFonts w:hint="default"/>
        <w:i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00113"/>
    <w:multiLevelType w:val="hybridMultilevel"/>
    <w:tmpl w:val="B8F2970C"/>
    <w:lvl w:ilvl="0" w:tplc="7728BF54">
      <w:start w:val="1"/>
      <w:numFmt w:val="bullet"/>
      <w:lvlText w:val="▪"/>
      <w:lvlJc w:val="left"/>
      <w:pPr>
        <w:tabs>
          <w:tab w:val="num" w:pos="720"/>
        </w:tabs>
        <w:ind w:left="720" w:hanging="360"/>
      </w:pPr>
      <w:rPr>
        <w:rFonts w:ascii="Tahoma" w:hAnsi="Tahoma" w:hint="default"/>
        <w:b w:val="0"/>
        <w:i w:val="0"/>
        <w:color w:val="auto"/>
        <w:sz w:val="28"/>
      </w:rPr>
    </w:lvl>
    <w:lvl w:ilvl="1" w:tplc="C4B4BC64">
      <w:start w:val="1"/>
      <w:numFmt w:val="bullet"/>
      <w:lvlText w:val=""/>
      <w:lvlJc w:val="left"/>
      <w:pPr>
        <w:tabs>
          <w:tab w:val="num" w:pos="1440"/>
        </w:tabs>
        <w:ind w:left="1440" w:hanging="360"/>
      </w:pPr>
      <w:rPr>
        <w:rFonts w:ascii="Symbol" w:hAnsi="Symbol" w:hint="default"/>
        <w:b w:val="0"/>
        <w:i w:val="0"/>
        <w:color w:val="auto"/>
        <w:sz w:val="28"/>
        <w:effect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3C1719"/>
    <w:multiLevelType w:val="hybridMultilevel"/>
    <w:tmpl w:val="C442942A"/>
    <w:lvl w:ilvl="0" w:tplc="451A8260">
      <w:start w:val="3"/>
      <w:numFmt w:val="lowerLetter"/>
      <w:lvlText w:val="%1."/>
      <w:lvlJc w:val="left"/>
      <w:pPr>
        <w:tabs>
          <w:tab w:val="num" w:pos="720"/>
        </w:tabs>
        <w:ind w:left="72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29A5FA7"/>
    <w:multiLevelType w:val="hybridMultilevel"/>
    <w:tmpl w:val="43207810"/>
    <w:lvl w:ilvl="0" w:tplc="8250D38C">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15:restartNumberingAfterBreak="0">
    <w:nsid w:val="75440D1E"/>
    <w:multiLevelType w:val="hybridMultilevel"/>
    <w:tmpl w:val="59E2C5E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7E84673"/>
    <w:multiLevelType w:val="hybridMultilevel"/>
    <w:tmpl w:val="F06CE1DC"/>
    <w:lvl w:ilvl="0" w:tplc="30AA316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7D733B"/>
    <w:multiLevelType w:val="hybridMultilevel"/>
    <w:tmpl w:val="C900BD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721901"/>
    <w:multiLevelType w:val="hybridMultilevel"/>
    <w:tmpl w:val="EA8A67C6"/>
    <w:lvl w:ilvl="0" w:tplc="C4B4BC64">
      <w:start w:val="1"/>
      <w:numFmt w:val="bullet"/>
      <w:lvlText w:val=""/>
      <w:lvlJc w:val="left"/>
      <w:pPr>
        <w:tabs>
          <w:tab w:val="num" w:pos="882"/>
        </w:tabs>
        <w:ind w:left="882" w:hanging="360"/>
      </w:pPr>
      <w:rPr>
        <w:rFonts w:ascii="Symbol" w:hAnsi="Symbol" w:hint="default"/>
        <w:effect w:val="none"/>
      </w:rPr>
    </w:lvl>
    <w:lvl w:ilvl="1" w:tplc="04090003">
      <w:start w:val="1"/>
      <w:numFmt w:val="bullet"/>
      <w:lvlText w:val="o"/>
      <w:lvlJc w:val="left"/>
      <w:pPr>
        <w:tabs>
          <w:tab w:val="num" w:pos="1602"/>
        </w:tabs>
        <w:ind w:left="1602" w:hanging="360"/>
      </w:pPr>
      <w:rPr>
        <w:rFonts w:ascii="Courier New" w:hAnsi="Courier New" w:cs="Courier New" w:hint="default"/>
      </w:rPr>
    </w:lvl>
    <w:lvl w:ilvl="2" w:tplc="04090005">
      <w:start w:val="1"/>
      <w:numFmt w:val="bullet"/>
      <w:lvlText w:val=""/>
      <w:lvlJc w:val="left"/>
      <w:pPr>
        <w:tabs>
          <w:tab w:val="num" w:pos="2322"/>
        </w:tabs>
        <w:ind w:left="2322" w:hanging="360"/>
      </w:pPr>
      <w:rPr>
        <w:rFonts w:ascii="Wingdings" w:hAnsi="Wingdings" w:hint="default"/>
      </w:rPr>
    </w:lvl>
    <w:lvl w:ilvl="3" w:tplc="04090001" w:tentative="1">
      <w:start w:val="1"/>
      <w:numFmt w:val="bullet"/>
      <w:lvlText w:val=""/>
      <w:lvlJc w:val="left"/>
      <w:pPr>
        <w:tabs>
          <w:tab w:val="num" w:pos="3042"/>
        </w:tabs>
        <w:ind w:left="3042" w:hanging="360"/>
      </w:pPr>
      <w:rPr>
        <w:rFonts w:ascii="Symbol" w:hAnsi="Symbol" w:hint="default"/>
      </w:rPr>
    </w:lvl>
    <w:lvl w:ilvl="4" w:tplc="04090003" w:tentative="1">
      <w:start w:val="1"/>
      <w:numFmt w:val="bullet"/>
      <w:lvlText w:val="o"/>
      <w:lvlJc w:val="left"/>
      <w:pPr>
        <w:tabs>
          <w:tab w:val="num" w:pos="3762"/>
        </w:tabs>
        <w:ind w:left="3762" w:hanging="360"/>
      </w:pPr>
      <w:rPr>
        <w:rFonts w:ascii="Courier New" w:hAnsi="Courier New" w:cs="Courier New" w:hint="default"/>
      </w:rPr>
    </w:lvl>
    <w:lvl w:ilvl="5" w:tplc="04090005" w:tentative="1">
      <w:start w:val="1"/>
      <w:numFmt w:val="bullet"/>
      <w:lvlText w:val=""/>
      <w:lvlJc w:val="left"/>
      <w:pPr>
        <w:tabs>
          <w:tab w:val="num" w:pos="4482"/>
        </w:tabs>
        <w:ind w:left="4482" w:hanging="360"/>
      </w:pPr>
      <w:rPr>
        <w:rFonts w:ascii="Wingdings" w:hAnsi="Wingdings" w:hint="default"/>
      </w:rPr>
    </w:lvl>
    <w:lvl w:ilvl="6" w:tplc="04090001" w:tentative="1">
      <w:start w:val="1"/>
      <w:numFmt w:val="bullet"/>
      <w:lvlText w:val=""/>
      <w:lvlJc w:val="left"/>
      <w:pPr>
        <w:tabs>
          <w:tab w:val="num" w:pos="5202"/>
        </w:tabs>
        <w:ind w:left="5202" w:hanging="360"/>
      </w:pPr>
      <w:rPr>
        <w:rFonts w:ascii="Symbol" w:hAnsi="Symbol" w:hint="default"/>
      </w:rPr>
    </w:lvl>
    <w:lvl w:ilvl="7" w:tplc="04090003" w:tentative="1">
      <w:start w:val="1"/>
      <w:numFmt w:val="bullet"/>
      <w:lvlText w:val="o"/>
      <w:lvlJc w:val="left"/>
      <w:pPr>
        <w:tabs>
          <w:tab w:val="num" w:pos="5922"/>
        </w:tabs>
        <w:ind w:left="5922" w:hanging="360"/>
      </w:pPr>
      <w:rPr>
        <w:rFonts w:ascii="Courier New" w:hAnsi="Courier New" w:cs="Courier New" w:hint="default"/>
      </w:rPr>
    </w:lvl>
    <w:lvl w:ilvl="8" w:tplc="04090005" w:tentative="1">
      <w:start w:val="1"/>
      <w:numFmt w:val="bullet"/>
      <w:lvlText w:val=""/>
      <w:lvlJc w:val="left"/>
      <w:pPr>
        <w:tabs>
          <w:tab w:val="num" w:pos="6642"/>
        </w:tabs>
        <w:ind w:left="6642" w:hanging="360"/>
      </w:pPr>
      <w:rPr>
        <w:rFonts w:ascii="Wingdings" w:hAnsi="Wingdings" w:hint="default"/>
      </w:rPr>
    </w:lvl>
  </w:abstractNum>
  <w:abstractNum w:abstractNumId="40" w15:restartNumberingAfterBreak="0">
    <w:nsid w:val="7E9E3EFF"/>
    <w:multiLevelType w:val="multilevel"/>
    <w:tmpl w:val="F03CBDEE"/>
    <w:lvl w:ilvl="0">
      <w:start w:val="11"/>
      <w:numFmt w:val="decimal"/>
      <w:lvlText w:val="%1."/>
      <w:lvlJc w:val="left"/>
      <w:pPr>
        <w:tabs>
          <w:tab w:val="num" w:pos="720"/>
        </w:tabs>
        <w:ind w:left="720" w:hanging="360"/>
      </w:pPr>
      <w:rPr>
        <w:rFonts w:hint="default"/>
      </w:rPr>
    </w:lvl>
    <w:lvl w:ilvl="1">
      <w:start w:val="1"/>
      <w:numFmt w:val="low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2"/>
      <w:numFmt w:val="lowerLetter"/>
      <w:lvlText w:val="%4."/>
      <w:lvlJc w:val="left"/>
      <w:pPr>
        <w:ind w:left="0" w:firstLine="0"/>
      </w:pPr>
      <w:rPr>
        <w:rFonts w:hint="default"/>
      </w:rPr>
    </w:lvl>
    <w:lvl w:ilvl="4">
      <w:start w:val="2"/>
      <w:numFmt w:val="lowerLetter"/>
      <w:lvlText w:val="%5."/>
      <w:lvlJc w:val="left"/>
      <w:pPr>
        <w:ind w:left="0" w:firstLine="0"/>
      </w:pPr>
      <w:rPr>
        <w:rFonts w:hint="default"/>
      </w:rPr>
    </w:lvl>
    <w:lvl w:ilvl="5">
      <w:start w:val="2"/>
      <w:numFmt w:val="lowerLetter"/>
      <w:lvlText w:val="%6."/>
      <w:lvlJc w:val="left"/>
      <w:pPr>
        <w:ind w:left="0" w:firstLine="0"/>
      </w:pPr>
      <w:rPr>
        <w:rFonts w:hint="default"/>
      </w:rPr>
    </w:lvl>
    <w:lvl w:ilvl="6">
      <w:start w:val="2"/>
      <w:numFmt w:val="lowerLetter"/>
      <w:lvlText w:val="%7."/>
      <w:lvlJc w:val="left"/>
      <w:pPr>
        <w:ind w:left="0" w:firstLine="0"/>
      </w:pPr>
      <w:rPr>
        <w:rFonts w:hint="default"/>
      </w:rPr>
    </w:lvl>
    <w:lvl w:ilvl="7">
      <w:start w:val="2"/>
      <w:numFmt w:val="lowerLetter"/>
      <w:lvlText w:val="%8."/>
      <w:lvlJc w:val="left"/>
      <w:pPr>
        <w:ind w:left="0" w:firstLine="0"/>
      </w:pPr>
      <w:rPr>
        <w:rFonts w:hint="default"/>
      </w:rPr>
    </w:lvl>
    <w:lvl w:ilvl="8">
      <w:start w:val="2"/>
      <w:numFmt w:val="lowerRoman"/>
      <w:lvlText w:val="%9)"/>
      <w:lvlJc w:val="left"/>
      <w:pPr>
        <w:ind w:left="0" w:firstLine="0"/>
      </w:pPr>
      <w:rPr>
        <w:rFonts w:hint="default"/>
      </w:rPr>
    </w:lvl>
  </w:abstractNum>
  <w:abstractNum w:abstractNumId="41" w15:restartNumberingAfterBreak="0">
    <w:nsid w:val="7EDE60D4"/>
    <w:multiLevelType w:val="hybridMultilevel"/>
    <w:tmpl w:val="BB927062"/>
    <w:lvl w:ilvl="0" w:tplc="9452B7D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1E6EAD"/>
    <w:multiLevelType w:val="multilevel"/>
    <w:tmpl w:val="4C1E7ADA"/>
    <w:lvl w:ilvl="0">
      <w:start w:val="2"/>
      <w:numFmt w:val="lowerLetter"/>
      <w:lvlText w:val="%1."/>
      <w:lvlJc w:val="left"/>
      <w:pPr>
        <w:tabs>
          <w:tab w:val="num" w:pos="720"/>
        </w:tabs>
        <w:ind w:left="720" w:hanging="360"/>
      </w:pPr>
      <w:rPr>
        <w:rFonts w:hint="default"/>
      </w:rPr>
    </w:lvl>
    <w:lvl w:ilvl="1">
      <w:start w:val="7"/>
      <w:numFmt w:val="low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2"/>
      <w:numFmt w:val="lowerLetter"/>
      <w:lvlText w:val="%4."/>
      <w:lvlJc w:val="left"/>
      <w:pPr>
        <w:ind w:left="0" w:firstLine="0"/>
      </w:pPr>
      <w:rPr>
        <w:rFonts w:hint="default"/>
      </w:rPr>
    </w:lvl>
    <w:lvl w:ilvl="4">
      <w:start w:val="2"/>
      <w:numFmt w:val="lowerLetter"/>
      <w:lvlText w:val="%5."/>
      <w:lvlJc w:val="left"/>
      <w:pPr>
        <w:ind w:left="0" w:firstLine="0"/>
      </w:pPr>
      <w:rPr>
        <w:rFonts w:hint="default"/>
      </w:rPr>
    </w:lvl>
    <w:lvl w:ilvl="5">
      <w:start w:val="2"/>
      <w:numFmt w:val="lowerLetter"/>
      <w:lvlText w:val="%6."/>
      <w:lvlJc w:val="left"/>
      <w:pPr>
        <w:ind w:left="0" w:firstLine="0"/>
      </w:pPr>
      <w:rPr>
        <w:rFonts w:hint="default"/>
      </w:rPr>
    </w:lvl>
    <w:lvl w:ilvl="6">
      <w:start w:val="2"/>
      <w:numFmt w:val="lowerLetter"/>
      <w:lvlText w:val="%7."/>
      <w:lvlJc w:val="left"/>
      <w:pPr>
        <w:ind w:left="0" w:firstLine="0"/>
      </w:pPr>
      <w:rPr>
        <w:rFonts w:hint="default"/>
      </w:rPr>
    </w:lvl>
    <w:lvl w:ilvl="7">
      <w:start w:val="2"/>
      <w:numFmt w:val="lowerLetter"/>
      <w:lvlText w:val="%8."/>
      <w:lvlJc w:val="left"/>
      <w:pPr>
        <w:ind w:left="0" w:firstLine="0"/>
      </w:pPr>
      <w:rPr>
        <w:rFonts w:hint="default"/>
      </w:rPr>
    </w:lvl>
    <w:lvl w:ilvl="8">
      <w:start w:val="2"/>
      <w:numFmt w:val="lowerRoman"/>
      <w:lvlText w:val="%9)"/>
      <w:lvlJc w:val="left"/>
      <w:pPr>
        <w:ind w:left="0" w:firstLine="0"/>
      </w:pPr>
      <w:rPr>
        <w:rFonts w:hint="default"/>
      </w:rPr>
    </w:lvl>
  </w:abstractNum>
  <w:num w:numId="1">
    <w:abstractNumId w:val="22"/>
  </w:num>
  <w:num w:numId="2">
    <w:abstractNumId w:val="5"/>
  </w:num>
  <w:num w:numId="3">
    <w:abstractNumId w:val="28"/>
  </w:num>
  <w:num w:numId="4">
    <w:abstractNumId w:val="33"/>
  </w:num>
  <w:num w:numId="5">
    <w:abstractNumId w:val="31"/>
  </w:num>
  <w:num w:numId="6">
    <w:abstractNumId w:val="12"/>
  </w:num>
  <w:num w:numId="7">
    <w:abstractNumId w:val="2"/>
  </w:num>
  <w:num w:numId="8">
    <w:abstractNumId w:val="29"/>
  </w:num>
  <w:num w:numId="9">
    <w:abstractNumId w:val="34"/>
  </w:num>
  <w:num w:numId="10">
    <w:abstractNumId w:val="36"/>
  </w:num>
  <w:num w:numId="11">
    <w:abstractNumId w:val="15"/>
  </w:num>
  <w:num w:numId="12">
    <w:abstractNumId w:val="27"/>
  </w:num>
  <w:num w:numId="13">
    <w:abstractNumId w:val="20"/>
  </w:num>
  <w:num w:numId="14">
    <w:abstractNumId w:val="39"/>
  </w:num>
  <w:num w:numId="15">
    <w:abstractNumId w:val="24"/>
  </w:num>
  <w:num w:numId="16">
    <w:abstractNumId w:val="8"/>
  </w:num>
  <w:num w:numId="17">
    <w:abstractNumId w:val="25"/>
  </w:num>
  <w:num w:numId="18">
    <w:abstractNumId w:val="10"/>
  </w:num>
  <w:num w:numId="19">
    <w:abstractNumId w:val="14"/>
  </w:num>
  <w:num w:numId="20">
    <w:abstractNumId w:val="32"/>
  </w:num>
  <w:num w:numId="21">
    <w:abstractNumId w:val="18"/>
  </w:num>
  <w:num w:numId="22">
    <w:abstractNumId w:val="30"/>
  </w:num>
  <w:num w:numId="23">
    <w:abstractNumId w:val="16"/>
  </w:num>
  <w:num w:numId="24">
    <w:abstractNumId w:val="3"/>
  </w:num>
  <w:num w:numId="25">
    <w:abstractNumId w:val="0"/>
  </w:num>
  <w:num w:numId="26">
    <w:abstractNumId w:val="37"/>
  </w:num>
  <w:num w:numId="27">
    <w:abstractNumId w:val="38"/>
  </w:num>
  <w:num w:numId="28">
    <w:abstractNumId w:val="35"/>
  </w:num>
  <w:num w:numId="29">
    <w:abstractNumId w:val="23"/>
  </w:num>
  <w:num w:numId="30">
    <w:abstractNumId w:val="1"/>
  </w:num>
  <w:num w:numId="31">
    <w:abstractNumId w:val="6"/>
  </w:num>
  <w:num w:numId="32">
    <w:abstractNumId w:val="42"/>
  </w:num>
  <w:num w:numId="33">
    <w:abstractNumId w:val="21"/>
  </w:num>
  <w:num w:numId="34">
    <w:abstractNumId w:val="40"/>
  </w:num>
  <w:num w:numId="35">
    <w:abstractNumId w:val="19"/>
  </w:num>
  <w:num w:numId="36">
    <w:abstractNumId w:val="9"/>
  </w:num>
  <w:num w:numId="37">
    <w:abstractNumId w:val="4"/>
  </w:num>
  <w:num w:numId="38">
    <w:abstractNumId w:val="17"/>
  </w:num>
  <w:num w:numId="39">
    <w:abstractNumId w:val="11"/>
  </w:num>
  <w:num w:numId="40">
    <w:abstractNumId w:val="41"/>
  </w:num>
  <w:num w:numId="41">
    <w:abstractNumId w:val="26"/>
  </w:num>
  <w:num w:numId="42">
    <w:abstractNumId w:val="13"/>
  </w:num>
  <w:num w:numId="43">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62"/>
    <w:rsid w:val="00000F3D"/>
    <w:rsid w:val="00000F58"/>
    <w:rsid w:val="00001042"/>
    <w:rsid w:val="000015BF"/>
    <w:rsid w:val="0000219A"/>
    <w:rsid w:val="00002BE1"/>
    <w:rsid w:val="00002ED9"/>
    <w:rsid w:val="00004B5A"/>
    <w:rsid w:val="00004C8E"/>
    <w:rsid w:val="00005078"/>
    <w:rsid w:val="00005654"/>
    <w:rsid w:val="000061AD"/>
    <w:rsid w:val="00006C7C"/>
    <w:rsid w:val="00006ECF"/>
    <w:rsid w:val="00006F5D"/>
    <w:rsid w:val="00007E3F"/>
    <w:rsid w:val="0001027B"/>
    <w:rsid w:val="000104A1"/>
    <w:rsid w:val="000104CE"/>
    <w:rsid w:val="0001052E"/>
    <w:rsid w:val="000109D7"/>
    <w:rsid w:val="00010A9A"/>
    <w:rsid w:val="00010C3F"/>
    <w:rsid w:val="00010CBE"/>
    <w:rsid w:val="00011C32"/>
    <w:rsid w:val="000121F0"/>
    <w:rsid w:val="00013686"/>
    <w:rsid w:val="00013936"/>
    <w:rsid w:val="00013EFA"/>
    <w:rsid w:val="0001447F"/>
    <w:rsid w:val="00014943"/>
    <w:rsid w:val="00015618"/>
    <w:rsid w:val="00015A61"/>
    <w:rsid w:val="00015EBC"/>
    <w:rsid w:val="00015FA3"/>
    <w:rsid w:val="00020CB1"/>
    <w:rsid w:val="0002131D"/>
    <w:rsid w:val="0002183D"/>
    <w:rsid w:val="00021DEE"/>
    <w:rsid w:val="00022905"/>
    <w:rsid w:val="0002295D"/>
    <w:rsid w:val="00022C0B"/>
    <w:rsid w:val="0002333E"/>
    <w:rsid w:val="00023CC4"/>
    <w:rsid w:val="0002464E"/>
    <w:rsid w:val="00024854"/>
    <w:rsid w:val="000258CF"/>
    <w:rsid w:val="0002611F"/>
    <w:rsid w:val="000267D1"/>
    <w:rsid w:val="00026D04"/>
    <w:rsid w:val="00027D85"/>
    <w:rsid w:val="00031365"/>
    <w:rsid w:val="00031412"/>
    <w:rsid w:val="00031737"/>
    <w:rsid w:val="00031D42"/>
    <w:rsid w:val="000322EC"/>
    <w:rsid w:val="0003291F"/>
    <w:rsid w:val="00032FE6"/>
    <w:rsid w:val="00033652"/>
    <w:rsid w:val="00034157"/>
    <w:rsid w:val="00035191"/>
    <w:rsid w:val="000351E4"/>
    <w:rsid w:val="0003592F"/>
    <w:rsid w:val="00037314"/>
    <w:rsid w:val="00037DCB"/>
    <w:rsid w:val="000405A1"/>
    <w:rsid w:val="0004083F"/>
    <w:rsid w:val="0004124A"/>
    <w:rsid w:val="00041875"/>
    <w:rsid w:val="000426D8"/>
    <w:rsid w:val="00043508"/>
    <w:rsid w:val="00044444"/>
    <w:rsid w:val="000451A6"/>
    <w:rsid w:val="000458A6"/>
    <w:rsid w:val="00046045"/>
    <w:rsid w:val="00046C97"/>
    <w:rsid w:val="00047851"/>
    <w:rsid w:val="00050763"/>
    <w:rsid w:val="000508BA"/>
    <w:rsid w:val="0005158D"/>
    <w:rsid w:val="00051953"/>
    <w:rsid w:val="00051B97"/>
    <w:rsid w:val="00051E3F"/>
    <w:rsid w:val="0005286E"/>
    <w:rsid w:val="00052B98"/>
    <w:rsid w:val="00052BF0"/>
    <w:rsid w:val="00055A5D"/>
    <w:rsid w:val="000579F5"/>
    <w:rsid w:val="00057E2E"/>
    <w:rsid w:val="00057EFF"/>
    <w:rsid w:val="00060E6F"/>
    <w:rsid w:val="00061297"/>
    <w:rsid w:val="000614E5"/>
    <w:rsid w:val="00061C98"/>
    <w:rsid w:val="00062334"/>
    <w:rsid w:val="00062A56"/>
    <w:rsid w:val="00062A9D"/>
    <w:rsid w:val="00063085"/>
    <w:rsid w:val="0006403B"/>
    <w:rsid w:val="0006469B"/>
    <w:rsid w:val="00064BEC"/>
    <w:rsid w:val="00065E27"/>
    <w:rsid w:val="000667CE"/>
    <w:rsid w:val="000667D0"/>
    <w:rsid w:val="000667DB"/>
    <w:rsid w:val="00066E96"/>
    <w:rsid w:val="0006723B"/>
    <w:rsid w:val="0007101B"/>
    <w:rsid w:val="000713AA"/>
    <w:rsid w:val="00071D44"/>
    <w:rsid w:val="00074585"/>
    <w:rsid w:val="00075875"/>
    <w:rsid w:val="00075D0C"/>
    <w:rsid w:val="000769D8"/>
    <w:rsid w:val="00076CF2"/>
    <w:rsid w:val="0008093E"/>
    <w:rsid w:val="00082E51"/>
    <w:rsid w:val="000834CA"/>
    <w:rsid w:val="0008375F"/>
    <w:rsid w:val="00083D00"/>
    <w:rsid w:val="00084418"/>
    <w:rsid w:val="00084AD7"/>
    <w:rsid w:val="00084B55"/>
    <w:rsid w:val="000850D8"/>
    <w:rsid w:val="0008552F"/>
    <w:rsid w:val="00086090"/>
    <w:rsid w:val="00086560"/>
    <w:rsid w:val="0008658E"/>
    <w:rsid w:val="0008680D"/>
    <w:rsid w:val="00086D4D"/>
    <w:rsid w:val="000872A6"/>
    <w:rsid w:val="0008740D"/>
    <w:rsid w:val="00087498"/>
    <w:rsid w:val="000875B7"/>
    <w:rsid w:val="000926B5"/>
    <w:rsid w:val="00092D0F"/>
    <w:rsid w:val="00093581"/>
    <w:rsid w:val="00093AEB"/>
    <w:rsid w:val="000945ED"/>
    <w:rsid w:val="00094A2D"/>
    <w:rsid w:val="00095C6E"/>
    <w:rsid w:val="00096F84"/>
    <w:rsid w:val="00096FC6"/>
    <w:rsid w:val="00097F4B"/>
    <w:rsid w:val="000A074E"/>
    <w:rsid w:val="000A0F63"/>
    <w:rsid w:val="000A10C4"/>
    <w:rsid w:val="000A14A7"/>
    <w:rsid w:val="000A2FD0"/>
    <w:rsid w:val="000A383B"/>
    <w:rsid w:val="000A3D38"/>
    <w:rsid w:val="000A44E2"/>
    <w:rsid w:val="000A458E"/>
    <w:rsid w:val="000A4EFB"/>
    <w:rsid w:val="000A546D"/>
    <w:rsid w:val="000A67C9"/>
    <w:rsid w:val="000A69D7"/>
    <w:rsid w:val="000A70B1"/>
    <w:rsid w:val="000A7887"/>
    <w:rsid w:val="000B0072"/>
    <w:rsid w:val="000B090B"/>
    <w:rsid w:val="000B129C"/>
    <w:rsid w:val="000B17E4"/>
    <w:rsid w:val="000B1930"/>
    <w:rsid w:val="000B23C2"/>
    <w:rsid w:val="000B2C68"/>
    <w:rsid w:val="000B2E1A"/>
    <w:rsid w:val="000B306B"/>
    <w:rsid w:val="000B32DD"/>
    <w:rsid w:val="000B4C2D"/>
    <w:rsid w:val="000B4F6A"/>
    <w:rsid w:val="000B524F"/>
    <w:rsid w:val="000B5633"/>
    <w:rsid w:val="000B5799"/>
    <w:rsid w:val="000B5A08"/>
    <w:rsid w:val="000B69F3"/>
    <w:rsid w:val="000B76BA"/>
    <w:rsid w:val="000B7D1C"/>
    <w:rsid w:val="000B7ECB"/>
    <w:rsid w:val="000C031C"/>
    <w:rsid w:val="000C24CF"/>
    <w:rsid w:val="000C48ED"/>
    <w:rsid w:val="000C4BDF"/>
    <w:rsid w:val="000C5AC7"/>
    <w:rsid w:val="000C67C9"/>
    <w:rsid w:val="000C70FA"/>
    <w:rsid w:val="000C7103"/>
    <w:rsid w:val="000C73A9"/>
    <w:rsid w:val="000C769D"/>
    <w:rsid w:val="000C7F77"/>
    <w:rsid w:val="000D0299"/>
    <w:rsid w:val="000D0B34"/>
    <w:rsid w:val="000D1501"/>
    <w:rsid w:val="000D166F"/>
    <w:rsid w:val="000D22FB"/>
    <w:rsid w:val="000D232A"/>
    <w:rsid w:val="000D2911"/>
    <w:rsid w:val="000D2C5D"/>
    <w:rsid w:val="000D2D52"/>
    <w:rsid w:val="000D4113"/>
    <w:rsid w:val="000D4645"/>
    <w:rsid w:val="000D4772"/>
    <w:rsid w:val="000D48CF"/>
    <w:rsid w:val="000D49BB"/>
    <w:rsid w:val="000D537C"/>
    <w:rsid w:val="000D5D98"/>
    <w:rsid w:val="000D74AA"/>
    <w:rsid w:val="000D7650"/>
    <w:rsid w:val="000D778D"/>
    <w:rsid w:val="000E05F1"/>
    <w:rsid w:val="000E063D"/>
    <w:rsid w:val="000E0F11"/>
    <w:rsid w:val="000E129F"/>
    <w:rsid w:val="000E2A14"/>
    <w:rsid w:val="000E2F41"/>
    <w:rsid w:val="000E342D"/>
    <w:rsid w:val="000E3AB5"/>
    <w:rsid w:val="000E3FD6"/>
    <w:rsid w:val="000E4311"/>
    <w:rsid w:val="000E484F"/>
    <w:rsid w:val="000E5546"/>
    <w:rsid w:val="000E5989"/>
    <w:rsid w:val="000E5DB4"/>
    <w:rsid w:val="000E5DBB"/>
    <w:rsid w:val="000E60FA"/>
    <w:rsid w:val="000E682C"/>
    <w:rsid w:val="000E710D"/>
    <w:rsid w:val="000E73C3"/>
    <w:rsid w:val="000E76C7"/>
    <w:rsid w:val="000F0371"/>
    <w:rsid w:val="000F1DA2"/>
    <w:rsid w:val="000F2201"/>
    <w:rsid w:val="000F3632"/>
    <w:rsid w:val="000F4A7B"/>
    <w:rsid w:val="000F4C8E"/>
    <w:rsid w:val="000F4EB5"/>
    <w:rsid w:val="000F5587"/>
    <w:rsid w:val="000F5724"/>
    <w:rsid w:val="000F5B3E"/>
    <w:rsid w:val="000F7163"/>
    <w:rsid w:val="000F7324"/>
    <w:rsid w:val="000F78C3"/>
    <w:rsid w:val="000F7B66"/>
    <w:rsid w:val="000F7FCD"/>
    <w:rsid w:val="00100323"/>
    <w:rsid w:val="00100527"/>
    <w:rsid w:val="001006A3"/>
    <w:rsid w:val="00100B8A"/>
    <w:rsid w:val="0010155E"/>
    <w:rsid w:val="00102729"/>
    <w:rsid w:val="00102D6B"/>
    <w:rsid w:val="00103B9D"/>
    <w:rsid w:val="00103C82"/>
    <w:rsid w:val="00104494"/>
    <w:rsid w:val="00104FDC"/>
    <w:rsid w:val="00105746"/>
    <w:rsid w:val="001066AB"/>
    <w:rsid w:val="00110499"/>
    <w:rsid w:val="001111CE"/>
    <w:rsid w:val="00111CF0"/>
    <w:rsid w:val="00111E19"/>
    <w:rsid w:val="00111EB6"/>
    <w:rsid w:val="00111F5B"/>
    <w:rsid w:val="00113806"/>
    <w:rsid w:val="00114906"/>
    <w:rsid w:val="0011509C"/>
    <w:rsid w:val="00115199"/>
    <w:rsid w:val="0011526F"/>
    <w:rsid w:val="00115863"/>
    <w:rsid w:val="0011642A"/>
    <w:rsid w:val="00116CA4"/>
    <w:rsid w:val="0011759F"/>
    <w:rsid w:val="00120293"/>
    <w:rsid w:val="00120AF5"/>
    <w:rsid w:val="00121D52"/>
    <w:rsid w:val="0012226C"/>
    <w:rsid w:val="00122A78"/>
    <w:rsid w:val="00122BC7"/>
    <w:rsid w:val="00122C0F"/>
    <w:rsid w:val="00123810"/>
    <w:rsid w:val="001242C7"/>
    <w:rsid w:val="00125840"/>
    <w:rsid w:val="00125B15"/>
    <w:rsid w:val="00126B04"/>
    <w:rsid w:val="00126CAB"/>
    <w:rsid w:val="00127555"/>
    <w:rsid w:val="001277F6"/>
    <w:rsid w:val="00127E08"/>
    <w:rsid w:val="00130526"/>
    <w:rsid w:val="00130B2F"/>
    <w:rsid w:val="00131067"/>
    <w:rsid w:val="001310BE"/>
    <w:rsid w:val="00131583"/>
    <w:rsid w:val="00131607"/>
    <w:rsid w:val="00131D90"/>
    <w:rsid w:val="0013372F"/>
    <w:rsid w:val="00133E65"/>
    <w:rsid w:val="0013431A"/>
    <w:rsid w:val="0013441C"/>
    <w:rsid w:val="00134A74"/>
    <w:rsid w:val="00136410"/>
    <w:rsid w:val="001365EF"/>
    <w:rsid w:val="00137116"/>
    <w:rsid w:val="0013740B"/>
    <w:rsid w:val="00137601"/>
    <w:rsid w:val="00137D02"/>
    <w:rsid w:val="001410D3"/>
    <w:rsid w:val="001415E6"/>
    <w:rsid w:val="00141970"/>
    <w:rsid w:val="00141B70"/>
    <w:rsid w:val="00141BDB"/>
    <w:rsid w:val="00142B81"/>
    <w:rsid w:val="00142E82"/>
    <w:rsid w:val="00143A74"/>
    <w:rsid w:val="00143C69"/>
    <w:rsid w:val="00143CAD"/>
    <w:rsid w:val="00144EF5"/>
    <w:rsid w:val="001451C1"/>
    <w:rsid w:val="00145A3C"/>
    <w:rsid w:val="00146AC2"/>
    <w:rsid w:val="00147528"/>
    <w:rsid w:val="001476F1"/>
    <w:rsid w:val="00151892"/>
    <w:rsid w:val="00151AE0"/>
    <w:rsid w:val="00151CE4"/>
    <w:rsid w:val="001521C5"/>
    <w:rsid w:val="00152AAF"/>
    <w:rsid w:val="00152B32"/>
    <w:rsid w:val="00153700"/>
    <w:rsid w:val="00153EAF"/>
    <w:rsid w:val="00155269"/>
    <w:rsid w:val="00155DA2"/>
    <w:rsid w:val="00155DC9"/>
    <w:rsid w:val="00155EEC"/>
    <w:rsid w:val="00156374"/>
    <w:rsid w:val="00157B12"/>
    <w:rsid w:val="001605C0"/>
    <w:rsid w:val="001609C5"/>
    <w:rsid w:val="00161127"/>
    <w:rsid w:val="00161BCF"/>
    <w:rsid w:val="00161EAD"/>
    <w:rsid w:val="00163425"/>
    <w:rsid w:val="001636A4"/>
    <w:rsid w:val="00163B2A"/>
    <w:rsid w:val="001652C8"/>
    <w:rsid w:val="001662AF"/>
    <w:rsid w:val="00166474"/>
    <w:rsid w:val="00166C68"/>
    <w:rsid w:val="00167198"/>
    <w:rsid w:val="001671E8"/>
    <w:rsid w:val="001700B1"/>
    <w:rsid w:val="00170AFB"/>
    <w:rsid w:val="0017147B"/>
    <w:rsid w:val="00171915"/>
    <w:rsid w:val="00171CE2"/>
    <w:rsid w:val="00172595"/>
    <w:rsid w:val="00172C87"/>
    <w:rsid w:val="00173266"/>
    <w:rsid w:val="00173A68"/>
    <w:rsid w:val="00174142"/>
    <w:rsid w:val="00174190"/>
    <w:rsid w:val="00174946"/>
    <w:rsid w:val="00174BF6"/>
    <w:rsid w:val="00174F8B"/>
    <w:rsid w:val="00176B98"/>
    <w:rsid w:val="00176E60"/>
    <w:rsid w:val="00176E63"/>
    <w:rsid w:val="00176EC3"/>
    <w:rsid w:val="00180CDE"/>
    <w:rsid w:val="00180ED1"/>
    <w:rsid w:val="00181127"/>
    <w:rsid w:val="0018134F"/>
    <w:rsid w:val="00181C42"/>
    <w:rsid w:val="00181FBB"/>
    <w:rsid w:val="00182955"/>
    <w:rsid w:val="00182B3B"/>
    <w:rsid w:val="001841D3"/>
    <w:rsid w:val="00184DF3"/>
    <w:rsid w:val="00185005"/>
    <w:rsid w:val="00185F3A"/>
    <w:rsid w:val="00186428"/>
    <w:rsid w:val="00186EF0"/>
    <w:rsid w:val="00190D3E"/>
    <w:rsid w:val="001912CD"/>
    <w:rsid w:val="00192E5A"/>
    <w:rsid w:val="001935AE"/>
    <w:rsid w:val="00193A3B"/>
    <w:rsid w:val="00193AC3"/>
    <w:rsid w:val="001941C3"/>
    <w:rsid w:val="00194687"/>
    <w:rsid w:val="00195203"/>
    <w:rsid w:val="00195897"/>
    <w:rsid w:val="00196878"/>
    <w:rsid w:val="00196F78"/>
    <w:rsid w:val="0019717D"/>
    <w:rsid w:val="001973F7"/>
    <w:rsid w:val="0019755A"/>
    <w:rsid w:val="001A01CF"/>
    <w:rsid w:val="001A0449"/>
    <w:rsid w:val="001A0E52"/>
    <w:rsid w:val="001A1462"/>
    <w:rsid w:val="001A1873"/>
    <w:rsid w:val="001A1BB4"/>
    <w:rsid w:val="001A20E6"/>
    <w:rsid w:val="001A33D2"/>
    <w:rsid w:val="001A3C4B"/>
    <w:rsid w:val="001A4C0C"/>
    <w:rsid w:val="001A62AB"/>
    <w:rsid w:val="001A6656"/>
    <w:rsid w:val="001B05B7"/>
    <w:rsid w:val="001B0C8C"/>
    <w:rsid w:val="001B1B29"/>
    <w:rsid w:val="001B1D90"/>
    <w:rsid w:val="001B1E5E"/>
    <w:rsid w:val="001B2E01"/>
    <w:rsid w:val="001B2F59"/>
    <w:rsid w:val="001B379E"/>
    <w:rsid w:val="001B3FE8"/>
    <w:rsid w:val="001B428F"/>
    <w:rsid w:val="001B476B"/>
    <w:rsid w:val="001B58FB"/>
    <w:rsid w:val="001B65B6"/>
    <w:rsid w:val="001B6622"/>
    <w:rsid w:val="001B6FF8"/>
    <w:rsid w:val="001B7799"/>
    <w:rsid w:val="001B7C2B"/>
    <w:rsid w:val="001C0EBF"/>
    <w:rsid w:val="001C0EC6"/>
    <w:rsid w:val="001C16B2"/>
    <w:rsid w:val="001C213F"/>
    <w:rsid w:val="001C2804"/>
    <w:rsid w:val="001C2CB1"/>
    <w:rsid w:val="001C2DD9"/>
    <w:rsid w:val="001C309C"/>
    <w:rsid w:val="001C37E0"/>
    <w:rsid w:val="001C4127"/>
    <w:rsid w:val="001C47E9"/>
    <w:rsid w:val="001C47EC"/>
    <w:rsid w:val="001C4876"/>
    <w:rsid w:val="001C4FDB"/>
    <w:rsid w:val="001C6BFD"/>
    <w:rsid w:val="001D0D8E"/>
    <w:rsid w:val="001D1570"/>
    <w:rsid w:val="001D161C"/>
    <w:rsid w:val="001D16F4"/>
    <w:rsid w:val="001D1DD1"/>
    <w:rsid w:val="001D2255"/>
    <w:rsid w:val="001D23C2"/>
    <w:rsid w:val="001D2BCA"/>
    <w:rsid w:val="001D2CD5"/>
    <w:rsid w:val="001D3A4E"/>
    <w:rsid w:val="001D3F05"/>
    <w:rsid w:val="001D4053"/>
    <w:rsid w:val="001D4861"/>
    <w:rsid w:val="001D4F3A"/>
    <w:rsid w:val="001D53A3"/>
    <w:rsid w:val="001D573E"/>
    <w:rsid w:val="001D5CC1"/>
    <w:rsid w:val="001D6C0D"/>
    <w:rsid w:val="001D7172"/>
    <w:rsid w:val="001D75BE"/>
    <w:rsid w:val="001E0083"/>
    <w:rsid w:val="001E20EC"/>
    <w:rsid w:val="001E386B"/>
    <w:rsid w:val="001E390C"/>
    <w:rsid w:val="001E3DFB"/>
    <w:rsid w:val="001E3FD2"/>
    <w:rsid w:val="001E4734"/>
    <w:rsid w:val="001E4CB7"/>
    <w:rsid w:val="001E4D56"/>
    <w:rsid w:val="001E5CC1"/>
    <w:rsid w:val="001E5EAE"/>
    <w:rsid w:val="001E6989"/>
    <w:rsid w:val="001E6AEC"/>
    <w:rsid w:val="001E7AAB"/>
    <w:rsid w:val="001E7B3D"/>
    <w:rsid w:val="001F0196"/>
    <w:rsid w:val="001F0EDD"/>
    <w:rsid w:val="001F103C"/>
    <w:rsid w:val="001F1230"/>
    <w:rsid w:val="001F13D7"/>
    <w:rsid w:val="001F18CE"/>
    <w:rsid w:val="001F1CC0"/>
    <w:rsid w:val="001F2565"/>
    <w:rsid w:val="001F278F"/>
    <w:rsid w:val="001F28E6"/>
    <w:rsid w:val="001F2A72"/>
    <w:rsid w:val="001F2B59"/>
    <w:rsid w:val="001F336B"/>
    <w:rsid w:val="001F35E6"/>
    <w:rsid w:val="001F42F9"/>
    <w:rsid w:val="001F4337"/>
    <w:rsid w:val="001F43B2"/>
    <w:rsid w:val="001F5663"/>
    <w:rsid w:val="001F5F1D"/>
    <w:rsid w:val="001F682B"/>
    <w:rsid w:val="001F6DA7"/>
    <w:rsid w:val="001F765F"/>
    <w:rsid w:val="001F7B5C"/>
    <w:rsid w:val="00201F1D"/>
    <w:rsid w:val="0020208D"/>
    <w:rsid w:val="00202181"/>
    <w:rsid w:val="002022CD"/>
    <w:rsid w:val="00202824"/>
    <w:rsid w:val="002036A3"/>
    <w:rsid w:val="00203851"/>
    <w:rsid w:val="002045BD"/>
    <w:rsid w:val="00204A6B"/>
    <w:rsid w:val="00204AC8"/>
    <w:rsid w:val="00204BAA"/>
    <w:rsid w:val="00205877"/>
    <w:rsid w:val="00205BC5"/>
    <w:rsid w:val="00206DEA"/>
    <w:rsid w:val="00207178"/>
    <w:rsid w:val="002077E5"/>
    <w:rsid w:val="002104FF"/>
    <w:rsid w:val="002112D2"/>
    <w:rsid w:val="00211623"/>
    <w:rsid w:val="00211C0F"/>
    <w:rsid w:val="00212021"/>
    <w:rsid w:val="002138D9"/>
    <w:rsid w:val="00213EF7"/>
    <w:rsid w:val="00214E1E"/>
    <w:rsid w:val="00216449"/>
    <w:rsid w:val="00216C4E"/>
    <w:rsid w:val="002203ED"/>
    <w:rsid w:val="002207AF"/>
    <w:rsid w:val="00220F57"/>
    <w:rsid w:val="00221164"/>
    <w:rsid w:val="00221504"/>
    <w:rsid w:val="00222BA4"/>
    <w:rsid w:val="002244DE"/>
    <w:rsid w:val="002246F9"/>
    <w:rsid w:val="002249B4"/>
    <w:rsid w:val="0022551D"/>
    <w:rsid w:val="00225A67"/>
    <w:rsid w:val="002261E1"/>
    <w:rsid w:val="00226298"/>
    <w:rsid w:val="00226F73"/>
    <w:rsid w:val="00227208"/>
    <w:rsid w:val="00227790"/>
    <w:rsid w:val="00227A1D"/>
    <w:rsid w:val="00227A33"/>
    <w:rsid w:val="00230421"/>
    <w:rsid w:val="00230921"/>
    <w:rsid w:val="002310F0"/>
    <w:rsid w:val="002314FD"/>
    <w:rsid w:val="002318E5"/>
    <w:rsid w:val="002319BC"/>
    <w:rsid w:val="00231E7E"/>
    <w:rsid w:val="00231FA4"/>
    <w:rsid w:val="0023212E"/>
    <w:rsid w:val="00232A50"/>
    <w:rsid w:val="002331CF"/>
    <w:rsid w:val="0023430E"/>
    <w:rsid w:val="002345DD"/>
    <w:rsid w:val="00234AD4"/>
    <w:rsid w:val="00234F24"/>
    <w:rsid w:val="002352B6"/>
    <w:rsid w:val="00235630"/>
    <w:rsid w:val="00236401"/>
    <w:rsid w:val="0023707C"/>
    <w:rsid w:val="0023718B"/>
    <w:rsid w:val="002374C2"/>
    <w:rsid w:val="00240491"/>
    <w:rsid w:val="00240DEB"/>
    <w:rsid w:val="0024125D"/>
    <w:rsid w:val="002416E1"/>
    <w:rsid w:val="002436B7"/>
    <w:rsid w:val="00243B88"/>
    <w:rsid w:val="00246AB8"/>
    <w:rsid w:val="00247397"/>
    <w:rsid w:val="002477D9"/>
    <w:rsid w:val="00247B56"/>
    <w:rsid w:val="00250937"/>
    <w:rsid w:val="00250D72"/>
    <w:rsid w:val="00251467"/>
    <w:rsid w:val="00252CEB"/>
    <w:rsid w:val="00252E55"/>
    <w:rsid w:val="00252F6B"/>
    <w:rsid w:val="00253410"/>
    <w:rsid w:val="00253913"/>
    <w:rsid w:val="00253E50"/>
    <w:rsid w:val="00254591"/>
    <w:rsid w:val="00254740"/>
    <w:rsid w:val="00254C04"/>
    <w:rsid w:val="00255B67"/>
    <w:rsid w:val="00257D0D"/>
    <w:rsid w:val="00261191"/>
    <w:rsid w:val="00261434"/>
    <w:rsid w:val="00261D09"/>
    <w:rsid w:val="00262826"/>
    <w:rsid w:val="00262EE0"/>
    <w:rsid w:val="00263D0F"/>
    <w:rsid w:val="0026409B"/>
    <w:rsid w:val="002642F6"/>
    <w:rsid w:val="00264630"/>
    <w:rsid w:val="00264965"/>
    <w:rsid w:val="00266230"/>
    <w:rsid w:val="002663B2"/>
    <w:rsid w:val="00266593"/>
    <w:rsid w:val="002667BA"/>
    <w:rsid w:val="00266B15"/>
    <w:rsid w:val="00270CAB"/>
    <w:rsid w:val="00270D49"/>
    <w:rsid w:val="00270F24"/>
    <w:rsid w:val="0027193F"/>
    <w:rsid w:val="00271C6D"/>
    <w:rsid w:val="00272185"/>
    <w:rsid w:val="002723EA"/>
    <w:rsid w:val="00273308"/>
    <w:rsid w:val="00274601"/>
    <w:rsid w:val="0027669A"/>
    <w:rsid w:val="002766EE"/>
    <w:rsid w:val="00276ECD"/>
    <w:rsid w:val="002773D9"/>
    <w:rsid w:val="0027776B"/>
    <w:rsid w:val="00277EBB"/>
    <w:rsid w:val="00277F5E"/>
    <w:rsid w:val="0028239C"/>
    <w:rsid w:val="00282BD8"/>
    <w:rsid w:val="00282BFE"/>
    <w:rsid w:val="00283676"/>
    <w:rsid w:val="00283D4A"/>
    <w:rsid w:val="00284130"/>
    <w:rsid w:val="0028473B"/>
    <w:rsid w:val="00284773"/>
    <w:rsid w:val="00284ADA"/>
    <w:rsid w:val="00284C05"/>
    <w:rsid w:val="00285F85"/>
    <w:rsid w:val="00286B5A"/>
    <w:rsid w:val="00287B44"/>
    <w:rsid w:val="00290303"/>
    <w:rsid w:val="00290485"/>
    <w:rsid w:val="00290997"/>
    <w:rsid w:val="00290CE0"/>
    <w:rsid w:val="002919D4"/>
    <w:rsid w:val="002927D7"/>
    <w:rsid w:val="00292CA4"/>
    <w:rsid w:val="00292D26"/>
    <w:rsid w:val="00293A09"/>
    <w:rsid w:val="00293B37"/>
    <w:rsid w:val="00293E6E"/>
    <w:rsid w:val="00293FB6"/>
    <w:rsid w:val="002947B7"/>
    <w:rsid w:val="00294C4E"/>
    <w:rsid w:val="00294DBA"/>
    <w:rsid w:val="002952C1"/>
    <w:rsid w:val="0029542B"/>
    <w:rsid w:val="002955FA"/>
    <w:rsid w:val="00295F43"/>
    <w:rsid w:val="00296930"/>
    <w:rsid w:val="002977A9"/>
    <w:rsid w:val="002A0AD3"/>
    <w:rsid w:val="002A139F"/>
    <w:rsid w:val="002A1BA7"/>
    <w:rsid w:val="002A2263"/>
    <w:rsid w:val="002A248B"/>
    <w:rsid w:val="002A29B0"/>
    <w:rsid w:val="002A2F23"/>
    <w:rsid w:val="002A3D4D"/>
    <w:rsid w:val="002A4645"/>
    <w:rsid w:val="002A4BD2"/>
    <w:rsid w:val="002A642C"/>
    <w:rsid w:val="002A715A"/>
    <w:rsid w:val="002A7D74"/>
    <w:rsid w:val="002B034C"/>
    <w:rsid w:val="002B0F3D"/>
    <w:rsid w:val="002B2713"/>
    <w:rsid w:val="002B2AA2"/>
    <w:rsid w:val="002B2D2D"/>
    <w:rsid w:val="002B388A"/>
    <w:rsid w:val="002B4460"/>
    <w:rsid w:val="002B48CC"/>
    <w:rsid w:val="002B4A98"/>
    <w:rsid w:val="002B518B"/>
    <w:rsid w:val="002B5256"/>
    <w:rsid w:val="002B5C8F"/>
    <w:rsid w:val="002B607B"/>
    <w:rsid w:val="002B6107"/>
    <w:rsid w:val="002B62B3"/>
    <w:rsid w:val="002B652E"/>
    <w:rsid w:val="002B6BE2"/>
    <w:rsid w:val="002B6E07"/>
    <w:rsid w:val="002B71D3"/>
    <w:rsid w:val="002B74DF"/>
    <w:rsid w:val="002B77D9"/>
    <w:rsid w:val="002B7C2D"/>
    <w:rsid w:val="002C072D"/>
    <w:rsid w:val="002C07B4"/>
    <w:rsid w:val="002C0CEA"/>
    <w:rsid w:val="002C0E7A"/>
    <w:rsid w:val="002C1039"/>
    <w:rsid w:val="002C13A0"/>
    <w:rsid w:val="002C1CAE"/>
    <w:rsid w:val="002C202C"/>
    <w:rsid w:val="002C2394"/>
    <w:rsid w:val="002C36E2"/>
    <w:rsid w:val="002C3F0A"/>
    <w:rsid w:val="002C43E7"/>
    <w:rsid w:val="002C4876"/>
    <w:rsid w:val="002C4F55"/>
    <w:rsid w:val="002C50CD"/>
    <w:rsid w:val="002C54E9"/>
    <w:rsid w:val="002C5725"/>
    <w:rsid w:val="002C5FFC"/>
    <w:rsid w:val="002C63EC"/>
    <w:rsid w:val="002C655A"/>
    <w:rsid w:val="002C657B"/>
    <w:rsid w:val="002C69B6"/>
    <w:rsid w:val="002D0345"/>
    <w:rsid w:val="002D1DF2"/>
    <w:rsid w:val="002D1E24"/>
    <w:rsid w:val="002D1F72"/>
    <w:rsid w:val="002D2BED"/>
    <w:rsid w:val="002D3161"/>
    <w:rsid w:val="002D3ADC"/>
    <w:rsid w:val="002D44EB"/>
    <w:rsid w:val="002D53B6"/>
    <w:rsid w:val="002D66A1"/>
    <w:rsid w:val="002D6816"/>
    <w:rsid w:val="002D6E37"/>
    <w:rsid w:val="002D6E45"/>
    <w:rsid w:val="002D7FC6"/>
    <w:rsid w:val="002E081D"/>
    <w:rsid w:val="002E0C95"/>
    <w:rsid w:val="002E0D41"/>
    <w:rsid w:val="002E3204"/>
    <w:rsid w:val="002E3551"/>
    <w:rsid w:val="002E391F"/>
    <w:rsid w:val="002E3AA8"/>
    <w:rsid w:val="002E46C4"/>
    <w:rsid w:val="002E4CAA"/>
    <w:rsid w:val="002E57BF"/>
    <w:rsid w:val="002E5B22"/>
    <w:rsid w:val="002E5DB7"/>
    <w:rsid w:val="002E5F99"/>
    <w:rsid w:val="002E67C9"/>
    <w:rsid w:val="002E7F0A"/>
    <w:rsid w:val="002F06D5"/>
    <w:rsid w:val="002F0746"/>
    <w:rsid w:val="002F0E9B"/>
    <w:rsid w:val="002F273B"/>
    <w:rsid w:val="002F28D9"/>
    <w:rsid w:val="002F2F01"/>
    <w:rsid w:val="002F3058"/>
    <w:rsid w:val="002F3309"/>
    <w:rsid w:val="002F3636"/>
    <w:rsid w:val="002F372E"/>
    <w:rsid w:val="002F464B"/>
    <w:rsid w:val="002F485E"/>
    <w:rsid w:val="002F53E8"/>
    <w:rsid w:val="002F5513"/>
    <w:rsid w:val="002F6A69"/>
    <w:rsid w:val="002F6E00"/>
    <w:rsid w:val="002F70F0"/>
    <w:rsid w:val="002F7311"/>
    <w:rsid w:val="002F7A6F"/>
    <w:rsid w:val="002F7BEC"/>
    <w:rsid w:val="003003F4"/>
    <w:rsid w:val="00300AEB"/>
    <w:rsid w:val="00301303"/>
    <w:rsid w:val="00301533"/>
    <w:rsid w:val="003015CA"/>
    <w:rsid w:val="003016F7"/>
    <w:rsid w:val="00302045"/>
    <w:rsid w:val="003023FB"/>
    <w:rsid w:val="003024BF"/>
    <w:rsid w:val="003033F4"/>
    <w:rsid w:val="0030382B"/>
    <w:rsid w:val="003045C8"/>
    <w:rsid w:val="00306697"/>
    <w:rsid w:val="00306DE3"/>
    <w:rsid w:val="00307594"/>
    <w:rsid w:val="00307E65"/>
    <w:rsid w:val="00311365"/>
    <w:rsid w:val="003113E1"/>
    <w:rsid w:val="00311D1B"/>
    <w:rsid w:val="00312282"/>
    <w:rsid w:val="003131DE"/>
    <w:rsid w:val="00313462"/>
    <w:rsid w:val="003136BB"/>
    <w:rsid w:val="00314290"/>
    <w:rsid w:val="00314A8B"/>
    <w:rsid w:val="003156CB"/>
    <w:rsid w:val="00315BF6"/>
    <w:rsid w:val="00315E4B"/>
    <w:rsid w:val="00315F77"/>
    <w:rsid w:val="00315FC1"/>
    <w:rsid w:val="00316CD1"/>
    <w:rsid w:val="00317045"/>
    <w:rsid w:val="003174AC"/>
    <w:rsid w:val="00317674"/>
    <w:rsid w:val="00321482"/>
    <w:rsid w:val="00321C07"/>
    <w:rsid w:val="00322C28"/>
    <w:rsid w:val="00322DEB"/>
    <w:rsid w:val="00322F02"/>
    <w:rsid w:val="003237F3"/>
    <w:rsid w:val="0032415C"/>
    <w:rsid w:val="003246FC"/>
    <w:rsid w:val="003249E0"/>
    <w:rsid w:val="00324E95"/>
    <w:rsid w:val="00324FF5"/>
    <w:rsid w:val="003266DA"/>
    <w:rsid w:val="00326E4E"/>
    <w:rsid w:val="00326E74"/>
    <w:rsid w:val="00326FF4"/>
    <w:rsid w:val="00327610"/>
    <w:rsid w:val="00330A57"/>
    <w:rsid w:val="00330E09"/>
    <w:rsid w:val="003311A2"/>
    <w:rsid w:val="00331F17"/>
    <w:rsid w:val="0033231E"/>
    <w:rsid w:val="00332635"/>
    <w:rsid w:val="003328C9"/>
    <w:rsid w:val="003328DF"/>
    <w:rsid w:val="003348FA"/>
    <w:rsid w:val="00334F81"/>
    <w:rsid w:val="003356B3"/>
    <w:rsid w:val="0033657D"/>
    <w:rsid w:val="0033681D"/>
    <w:rsid w:val="00337756"/>
    <w:rsid w:val="00337790"/>
    <w:rsid w:val="003400EF"/>
    <w:rsid w:val="003401BB"/>
    <w:rsid w:val="003402A6"/>
    <w:rsid w:val="0034092D"/>
    <w:rsid w:val="00341028"/>
    <w:rsid w:val="003412D6"/>
    <w:rsid w:val="00341F8C"/>
    <w:rsid w:val="003422CC"/>
    <w:rsid w:val="00342495"/>
    <w:rsid w:val="0034284D"/>
    <w:rsid w:val="00342E65"/>
    <w:rsid w:val="00342F0E"/>
    <w:rsid w:val="0034372B"/>
    <w:rsid w:val="00343E59"/>
    <w:rsid w:val="00344BB1"/>
    <w:rsid w:val="00345361"/>
    <w:rsid w:val="00345CD5"/>
    <w:rsid w:val="0034671F"/>
    <w:rsid w:val="00346DC4"/>
    <w:rsid w:val="0034721C"/>
    <w:rsid w:val="00347351"/>
    <w:rsid w:val="0034780F"/>
    <w:rsid w:val="00350562"/>
    <w:rsid w:val="00350DDB"/>
    <w:rsid w:val="003510A5"/>
    <w:rsid w:val="00351DA2"/>
    <w:rsid w:val="00352327"/>
    <w:rsid w:val="0035359E"/>
    <w:rsid w:val="00353920"/>
    <w:rsid w:val="00353AB2"/>
    <w:rsid w:val="00353D9B"/>
    <w:rsid w:val="0035450E"/>
    <w:rsid w:val="00355AE3"/>
    <w:rsid w:val="00356059"/>
    <w:rsid w:val="003572E5"/>
    <w:rsid w:val="00357E92"/>
    <w:rsid w:val="00360582"/>
    <w:rsid w:val="00361A11"/>
    <w:rsid w:val="00361CBD"/>
    <w:rsid w:val="00362CD2"/>
    <w:rsid w:val="00363209"/>
    <w:rsid w:val="003638B2"/>
    <w:rsid w:val="0036514C"/>
    <w:rsid w:val="003655A2"/>
    <w:rsid w:val="00366D8E"/>
    <w:rsid w:val="00367963"/>
    <w:rsid w:val="00367A6A"/>
    <w:rsid w:val="00371284"/>
    <w:rsid w:val="00371E63"/>
    <w:rsid w:val="0037247E"/>
    <w:rsid w:val="00372F46"/>
    <w:rsid w:val="00373746"/>
    <w:rsid w:val="00373FB8"/>
    <w:rsid w:val="00374094"/>
    <w:rsid w:val="00375860"/>
    <w:rsid w:val="00375D78"/>
    <w:rsid w:val="00376058"/>
    <w:rsid w:val="00376ADD"/>
    <w:rsid w:val="0038026A"/>
    <w:rsid w:val="00380891"/>
    <w:rsid w:val="003824F3"/>
    <w:rsid w:val="0038263A"/>
    <w:rsid w:val="0038267F"/>
    <w:rsid w:val="00382A50"/>
    <w:rsid w:val="003830C3"/>
    <w:rsid w:val="00383514"/>
    <w:rsid w:val="00384221"/>
    <w:rsid w:val="003848B9"/>
    <w:rsid w:val="00384C7C"/>
    <w:rsid w:val="00385C22"/>
    <w:rsid w:val="00387DA6"/>
    <w:rsid w:val="003902E6"/>
    <w:rsid w:val="00390577"/>
    <w:rsid w:val="00390932"/>
    <w:rsid w:val="00390997"/>
    <w:rsid w:val="00390B0E"/>
    <w:rsid w:val="00390C41"/>
    <w:rsid w:val="0039115B"/>
    <w:rsid w:val="003911FF"/>
    <w:rsid w:val="003914CB"/>
    <w:rsid w:val="00391951"/>
    <w:rsid w:val="003926B5"/>
    <w:rsid w:val="00392888"/>
    <w:rsid w:val="00393A83"/>
    <w:rsid w:val="00393EF8"/>
    <w:rsid w:val="00394F50"/>
    <w:rsid w:val="00395043"/>
    <w:rsid w:val="00395C9C"/>
    <w:rsid w:val="00395CCF"/>
    <w:rsid w:val="00396018"/>
    <w:rsid w:val="0039689F"/>
    <w:rsid w:val="003975B8"/>
    <w:rsid w:val="0039770F"/>
    <w:rsid w:val="00397F82"/>
    <w:rsid w:val="003A0431"/>
    <w:rsid w:val="003A0FCF"/>
    <w:rsid w:val="003A1B22"/>
    <w:rsid w:val="003A252D"/>
    <w:rsid w:val="003A33A9"/>
    <w:rsid w:val="003A3FA9"/>
    <w:rsid w:val="003A42E5"/>
    <w:rsid w:val="003A57F2"/>
    <w:rsid w:val="003A5C64"/>
    <w:rsid w:val="003A77A4"/>
    <w:rsid w:val="003A7A8C"/>
    <w:rsid w:val="003B0077"/>
    <w:rsid w:val="003B012D"/>
    <w:rsid w:val="003B1D60"/>
    <w:rsid w:val="003B24AE"/>
    <w:rsid w:val="003B2B2A"/>
    <w:rsid w:val="003B2F03"/>
    <w:rsid w:val="003B3663"/>
    <w:rsid w:val="003B37CF"/>
    <w:rsid w:val="003B4662"/>
    <w:rsid w:val="003B471C"/>
    <w:rsid w:val="003B5908"/>
    <w:rsid w:val="003B60CD"/>
    <w:rsid w:val="003B6524"/>
    <w:rsid w:val="003B696D"/>
    <w:rsid w:val="003C0553"/>
    <w:rsid w:val="003C073E"/>
    <w:rsid w:val="003C0F0C"/>
    <w:rsid w:val="003C18DD"/>
    <w:rsid w:val="003C1AC5"/>
    <w:rsid w:val="003C1AE4"/>
    <w:rsid w:val="003C1B25"/>
    <w:rsid w:val="003C1C25"/>
    <w:rsid w:val="003C2A38"/>
    <w:rsid w:val="003C2FB0"/>
    <w:rsid w:val="003C3A2A"/>
    <w:rsid w:val="003C43C8"/>
    <w:rsid w:val="003C46C1"/>
    <w:rsid w:val="003C4FEC"/>
    <w:rsid w:val="003C59BD"/>
    <w:rsid w:val="003C6838"/>
    <w:rsid w:val="003C69B7"/>
    <w:rsid w:val="003C7323"/>
    <w:rsid w:val="003C782E"/>
    <w:rsid w:val="003C7E80"/>
    <w:rsid w:val="003D12A4"/>
    <w:rsid w:val="003D19CB"/>
    <w:rsid w:val="003D2A81"/>
    <w:rsid w:val="003D33A9"/>
    <w:rsid w:val="003D4175"/>
    <w:rsid w:val="003D4C80"/>
    <w:rsid w:val="003D50F1"/>
    <w:rsid w:val="003D53C2"/>
    <w:rsid w:val="003D5882"/>
    <w:rsid w:val="003D5BD0"/>
    <w:rsid w:val="003D6A73"/>
    <w:rsid w:val="003D71BA"/>
    <w:rsid w:val="003D7538"/>
    <w:rsid w:val="003D7746"/>
    <w:rsid w:val="003E0265"/>
    <w:rsid w:val="003E0E0F"/>
    <w:rsid w:val="003E13CA"/>
    <w:rsid w:val="003E31F9"/>
    <w:rsid w:val="003E3564"/>
    <w:rsid w:val="003E4D36"/>
    <w:rsid w:val="003E60FB"/>
    <w:rsid w:val="003E6AC7"/>
    <w:rsid w:val="003E6F92"/>
    <w:rsid w:val="003F03A5"/>
    <w:rsid w:val="003F052D"/>
    <w:rsid w:val="003F0A4F"/>
    <w:rsid w:val="003F163B"/>
    <w:rsid w:val="003F16BB"/>
    <w:rsid w:val="003F16D2"/>
    <w:rsid w:val="003F18E5"/>
    <w:rsid w:val="003F1929"/>
    <w:rsid w:val="003F1A5B"/>
    <w:rsid w:val="003F1BAC"/>
    <w:rsid w:val="003F1C46"/>
    <w:rsid w:val="003F3099"/>
    <w:rsid w:val="003F342E"/>
    <w:rsid w:val="003F389B"/>
    <w:rsid w:val="003F3904"/>
    <w:rsid w:val="003F3BD3"/>
    <w:rsid w:val="003F4D33"/>
    <w:rsid w:val="003F5D16"/>
    <w:rsid w:val="003F68E8"/>
    <w:rsid w:val="003F6C4F"/>
    <w:rsid w:val="003F7A4D"/>
    <w:rsid w:val="00400464"/>
    <w:rsid w:val="00400761"/>
    <w:rsid w:val="00400FD3"/>
    <w:rsid w:val="004017DD"/>
    <w:rsid w:val="00401AFD"/>
    <w:rsid w:val="00402864"/>
    <w:rsid w:val="00402EED"/>
    <w:rsid w:val="0040321D"/>
    <w:rsid w:val="004039D8"/>
    <w:rsid w:val="00403B98"/>
    <w:rsid w:val="004046DA"/>
    <w:rsid w:val="00404800"/>
    <w:rsid w:val="00404945"/>
    <w:rsid w:val="00405806"/>
    <w:rsid w:val="00406296"/>
    <w:rsid w:val="00406F0E"/>
    <w:rsid w:val="00407431"/>
    <w:rsid w:val="00407BE8"/>
    <w:rsid w:val="00410FE1"/>
    <w:rsid w:val="00411C55"/>
    <w:rsid w:val="00411F21"/>
    <w:rsid w:val="00412BB1"/>
    <w:rsid w:val="00412C0B"/>
    <w:rsid w:val="004131DC"/>
    <w:rsid w:val="00413D39"/>
    <w:rsid w:val="004140CA"/>
    <w:rsid w:val="0041540D"/>
    <w:rsid w:val="00415D6F"/>
    <w:rsid w:val="00415FA8"/>
    <w:rsid w:val="00416037"/>
    <w:rsid w:val="004162CC"/>
    <w:rsid w:val="00416514"/>
    <w:rsid w:val="00416A2F"/>
    <w:rsid w:val="00416E21"/>
    <w:rsid w:val="00420B65"/>
    <w:rsid w:val="004214E6"/>
    <w:rsid w:val="00421AF6"/>
    <w:rsid w:val="00422B05"/>
    <w:rsid w:val="00423393"/>
    <w:rsid w:val="00423524"/>
    <w:rsid w:val="00423A05"/>
    <w:rsid w:val="00423FE6"/>
    <w:rsid w:val="00424833"/>
    <w:rsid w:val="00425216"/>
    <w:rsid w:val="0042529F"/>
    <w:rsid w:val="00425482"/>
    <w:rsid w:val="00425566"/>
    <w:rsid w:val="004257DC"/>
    <w:rsid w:val="00426119"/>
    <w:rsid w:val="00426F8F"/>
    <w:rsid w:val="004271CE"/>
    <w:rsid w:val="00427D05"/>
    <w:rsid w:val="00430809"/>
    <w:rsid w:val="00431457"/>
    <w:rsid w:val="00431488"/>
    <w:rsid w:val="004314D1"/>
    <w:rsid w:val="00431754"/>
    <w:rsid w:val="00432261"/>
    <w:rsid w:val="0043238C"/>
    <w:rsid w:val="00432760"/>
    <w:rsid w:val="00432794"/>
    <w:rsid w:val="00432797"/>
    <w:rsid w:val="00432915"/>
    <w:rsid w:val="00433A93"/>
    <w:rsid w:val="00433AC6"/>
    <w:rsid w:val="00434DAF"/>
    <w:rsid w:val="00434EF6"/>
    <w:rsid w:val="004354ED"/>
    <w:rsid w:val="00436437"/>
    <w:rsid w:val="0043755A"/>
    <w:rsid w:val="004401D0"/>
    <w:rsid w:val="004408E4"/>
    <w:rsid w:val="00440A71"/>
    <w:rsid w:val="00441767"/>
    <w:rsid w:val="00441FE3"/>
    <w:rsid w:val="004424D2"/>
    <w:rsid w:val="00442C67"/>
    <w:rsid w:val="00443073"/>
    <w:rsid w:val="00443858"/>
    <w:rsid w:val="00443D2B"/>
    <w:rsid w:val="00444E36"/>
    <w:rsid w:val="00445F71"/>
    <w:rsid w:val="00447045"/>
    <w:rsid w:val="00447876"/>
    <w:rsid w:val="004505F2"/>
    <w:rsid w:val="00450CAD"/>
    <w:rsid w:val="0045169C"/>
    <w:rsid w:val="00451DD1"/>
    <w:rsid w:val="00452BCB"/>
    <w:rsid w:val="00453095"/>
    <w:rsid w:val="004532AA"/>
    <w:rsid w:val="00453578"/>
    <w:rsid w:val="0045416B"/>
    <w:rsid w:val="00454F60"/>
    <w:rsid w:val="004550B3"/>
    <w:rsid w:val="00455BA0"/>
    <w:rsid w:val="0045669B"/>
    <w:rsid w:val="00456987"/>
    <w:rsid w:val="00457383"/>
    <w:rsid w:val="00461438"/>
    <w:rsid w:val="0046252F"/>
    <w:rsid w:val="0046265A"/>
    <w:rsid w:val="00462741"/>
    <w:rsid w:val="00463B59"/>
    <w:rsid w:val="00463BEE"/>
    <w:rsid w:val="00463F2D"/>
    <w:rsid w:val="00463FA6"/>
    <w:rsid w:val="00464808"/>
    <w:rsid w:val="00464C5F"/>
    <w:rsid w:val="00464F78"/>
    <w:rsid w:val="004652FA"/>
    <w:rsid w:val="004659A4"/>
    <w:rsid w:val="0046672C"/>
    <w:rsid w:val="004673B1"/>
    <w:rsid w:val="00470921"/>
    <w:rsid w:val="00471C45"/>
    <w:rsid w:val="00471FF8"/>
    <w:rsid w:val="004720C0"/>
    <w:rsid w:val="00472E32"/>
    <w:rsid w:val="00473E5C"/>
    <w:rsid w:val="00473EAF"/>
    <w:rsid w:val="0047410C"/>
    <w:rsid w:val="00475048"/>
    <w:rsid w:val="00475ECD"/>
    <w:rsid w:val="00476C19"/>
    <w:rsid w:val="004776F0"/>
    <w:rsid w:val="00477904"/>
    <w:rsid w:val="00477D54"/>
    <w:rsid w:val="00480317"/>
    <w:rsid w:val="00480A02"/>
    <w:rsid w:val="00481691"/>
    <w:rsid w:val="0048221E"/>
    <w:rsid w:val="00482C81"/>
    <w:rsid w:val="00484031"/>
    <w:rsid w:val="004841BF"/>
    <w:rsid w:val="00484203"/>
    <w:rsid w:val="004847BC"/>
    <w:rsid w:val="004847D9"/>
    <w:rsid w:val="0048547B"/>
    <w:rsid w:val="004855A4"/>
    <w:rsid w:val="004857FF"/>
    <w:rsid w:val="0048741B"/>
    <w:rsid w:val="00487BBE"/>
    <w:rsid w:val="00490779"/>
    <w:rsid w:val="00490AE8"/>
    <w:rsid w:val="0049113B"/>
    <w:rsid w:val="004913E9"/>
    <w:rsid w:val="00491AF6"/>
    <w:rsid w:val="00491CFB"/>
    <w:rsid w:val="004924B1"/>
    <w:rsid w:val="00492564"/>
    <w:rsid w:val="0049286B"/>
    <w:rsid w:val="0049339D"/>
    <w:rsid w:val="00493707"/>
    <w:rsid w:val="00493A81"/>
    <w:rsid w:val="004950BF"/>
    <w:rsid w:val="004959ED"/>
    <w:rsid w:val="00495ABA"/>
    <w:rsid w:val="004961C4"/>
    <w:rsid w:val="0049689C"/>
    <w:rsid w:val="00497834"/>
    <w:rsid w:val="004A00DF"/>
    <w:rsid w:val="004A0850"/>
    <w:rsid w:val="004A0F86"/>
    <w:rsid w:val="004A0FB8"/>
    <w:rsid w:val="004A1371"/>
    <w:rsid w:val="004A1526"/>
    <w:rsid w:val="004A1538"/>
    <w:rsid w:val="004A167B"/>
    <w:rsid w:val="004A2911"/>
    <w:rsid w:val="004A48F6"/>
    <w:rsid w:val="004A4FE6"/>
    <w:rsid w:val="004A62C1"/>
    <w:rsid w:val="004A6606"/>
    <w:rsid w:val="004A6C62"/>
    <w:rsid w:val="004A7099"/>
    <w:rsid w:val="004A77FD"/>
    <w:rsid w:val="004B03A1"/>
    <w:rsid w:val="004B0586"/>
    <w:rsid w:val="004B0B0F"/>
    <w:rsid w:val="004B14D0"/>
    <w:rsid w:val="004B1658"/>
    <w:rsid w:val="004B21EA"/>
    <w:rsid w:val="004B2B1D"/>
    <w:rsid w:val="004B34DA"/>
    <w:rsid w:val="004B34F6"/>
    <w:rsid w:val="004B4CB1"/>
    <w:rsid w:val="004B5976"/>
    <w:rsid w:val="004B5D57"/>
    <w:rsid w:val="004B5EAF"/>
    <w:rsid w:val="004B726F"/>
    <w:rsid w:val="004B7576"/>
    <w:rsid w:val="004B7EEA"/>
    <w:rsid w:val="004C09EC"/>
    <w:rsid w:val="004C0D22"/>
    <w:rsid w:val="004C12C7"/>
    <w:rsid w:val="004C19CA"/>
    <w:rsid w:val="004C1BEE"/>
    <w:rsid w:val="004C2D0B"/>
    <w:rsid w:val="004C2D90"/>
    <w:rsid w:val="004C3A55"/>
    <w:rsid w:val="004C3B1D"/>
    <w:rsid w:val="004C3B94"/>
    <w:rsid w:val="004C3D48"/>
    <w:rsid w:val="004C3E1A"/>
    <w:rsid w:val="004C45BF"/>
    <w:rsid w:val="004C4776"/>
    <w:rsid w:val="004C65CB"/>
    <w:rsid w:val="004C669E"/>
    <w:rsid w:val="004C6E96"/>
    <w:rsid w:val="004C6FF2"/>
    <w:rsid w:val="004C7196"/>
    <w:rsid w:val="004C7435"/>
    <w:rsid w:val="004C7AC6"/>
    <w:rsid w:val="004C7AEE"/>
    <w:rsid w:val="004D0135"/>
    <w:rsid w:val="004D199E"/>
    <w:rsid w:val="004D1A7E"/>
    <w:rsid w:val="004D3352"/>
    <w:rsid w:val="004D40D9"/>
    <w:rsid w:val="004D4447"/>
    <w:rsid w:val="004D56CF"/>
    <w:rsid w:val="004D59C2"/>
    <w:rsid w:val="004D5B1B"/>
    <w:rsid w:val="004D634B"/>
    <w:rsid w:val="004D651F"/>
    <w:rsid w:val="004D6EBD"/>
    <w:rsid w:val="004D7EBE"/>
    <w:rsid w:val="004E040E"/>
    <w:rsid w:val="004E1B4B"/>
    <w:rsid w:val="004E1DAE"/>
    <w:rsid w:val="004E2BC3"/>
    <w:rsid w:val="004E3F8A"/>
    <w:rsid w:val="004E422F"/>
    <w:rsid w:val="004E47DF"/>
    <w:rsid w:val="004E537E"/>
    <w:rsid w:val="004E552D"/>
    <w:rsid w:val="004E5AD5"/>
    <w:rsid w:val="004E5D33"/>
    <w:rsid w:val="004E6909"/>
    <w:rsid w:val="004E6992"/>
    <w:rsid w:val="004E755E"/>
    <w:rsid w:val="004F0095"/>
    <w:rsid w:val="004F0AF7"/>
    <w:rsid w:val="004F1BE0"/>
    <w:rsid w:val="004F1D81"/>
    <w:rsid w:val="004F225B"/>
    <w:rsid w:val="004F2338"/>
    <w:rsid w:val="004F2450"/>
    <w:rsid w:val="004F24AE"/>
    <w:rsid w:val="004F2BDF"/>
    <w:rsid w:val="004F2F26"/>
    <w:rsid w:val="004F34B3"/>
    <w:rsid w:val="004F4E6F"/>
    <w:rsid w:val="004F4EC3"/>
    <w:rsid w:val="004F5060"/>
    <w:rsid w:val="004F5759"/>
    <w:rsid w:val="004F5D2B"/>
    <w:rsid w:val="004F64A6"/>
    <w:rsid w:val="004F6508"/>
    <w:rsid w:val="004F6775"/>
    <w:rsid w:val="004F67E3"/>
    <w:rsid w:val="004F6888"/>
    <w:rsid w:val="004F77CC"/>
    <w:rsid w:val="004F7C20"/>
    <w:rsid w:val="004F7D12"/>
    <w:rsid w:val="0050030F"/>
    <w:rsid w:val="00500B3B"/>
    <w:rsid w:val="00501173"/>
    <w:rsid w:val="0050126A"/>
    <w:rsid w:val="00501537"/>
    <w:rsid w:val="005015E3"/>
    <w:rsid w:val="00501F65"/>
    <w:rsid w:val="00502387"/>
    <w:rsid w:val="00502AEA"/>
    <w:rsid w:val="00502C17"/>
    <w:rsid w:val="0050347D"/>
    <w:rsid w:val="0050370C"/>
    <w:rsid w:val="005038B3"/>
    <w:rsid w:val="005041BB"/>
    <w:rsid w:val="005041D1"/>
    <w:rsid w:val="00505176"/>
    <w:rsid w:val="005053FB"/>
    <w:rsid w:val="00506DBC"/>
    <w:rsid w:val="005073AC"/>
    <w:rsid w:val="00507D55"/>
    <w:rsid w:val="00510C96"/>
    <w:rsid w:val="005119BC"/>
    <w:rsid w:val="00512747"/>
    <w:rsid w:val="005131AB"/>
    <w:rsid w:val="005153A7"/>
    <w:rsid w:val="0051546F"/>
    <w:rsid w:val="005157BF"/>
    <w:rsid w:val="005163C8"/>
    <w:rsid w:val="0051708B"/>
    <w:rsid w:val="005174D9"/>
    <w:rsid w:val="0051768F"/>
    <w:rsid w:val="00517F0C"/>
    <w:rsid w:val="00520985"/>
    <w:rsid w:val="00521A7B"/>
    <w:rsid w:val="0052200B"/>
    <w:rsid w:val="00522787"/>
    <w:rsid w:val="00522CB1"/>
    <w:rsid w:val="00522DA4"/>
    <w:rsid w:val="0052337E"/>
    <w:rsid w:val="0052377F"/>
    <w:rsid w:val="00523B2A"/>
    <w:rsid w:val="0052472F"/>
    <w:rsid w:val="00524823"/>
    <w:rsid w:val="005252EC"/>
    <w:rsid w:val="00526C0E"/>
    <w:rsid w:val="005306F8"/>
    <w:rsid w:val="00530F62"/>
    <w:rsid w:val="00531B30"/>
    <w:rsid w:val="00531C03"/>
    <w:rsid w:val="005325ED"/>
    <w:rsid w:val="00532770"/>
    <w:rsid w:val="00532CE6"/>
    <w:rsid w:val="005334E6"/>
    <w:rsid w:val="00533505"/>
    <w:rsid w:val="00534880"/>
    <w:rsid w:val="00534ACA"/>
    <w:rsid w:val="00534BFD"/>
    <w:rsid w:val="00534E0F"/>
    <w:rsid w:val="00535181"/>
    <w:rsid w:val="0053521D"/>
    <w:rsid w:val="00536418"/>
    <w:rsid w:val="0053672B"/>
    <w:rsid w:val="005367DE"/>
    <w:rsid w:val="005376D3"/>
    <w:rsid w:val="00537D35"/>
    <w:rsid w:val="00540454"/>
    <w:rsid w:val="00542354"/>
    <w:rsid w:val="005431B2"/>
    <w:rsid w:val="005432ED"/>
    <w:rsid w:val="00543442"/>
    <w:rsid w:val="0054427B"/>
    <w:rsid w:val="00545B4E"/>
    <w:rsid w:val="00546296"/>
    <w:rsid w:val="0054639F"/>
    <w:rsid w:val="00546A42"/>
    <w:rsid w:val="00546F37"/>
    <w:rsid w:val="005473B6"/>
    <w:rsid w:val="00547691"/>
    <w:rsid w:val="0054771F"/>
    <w:rsid w:val="00547801"/>
    <w:rsid w:val="00550497"/>
    <w:rsid w:val="00550897"/>
    <w:rsid w:val="00550F63"/>
    <w:rsid w:val="005511D2"/>
    <w:rsid w:val="0055130E"/>
    <w:rsid w:val="00551518"/>
    <w:rsid w:val="00551F4C"/>
    <w:rsid w:val="00551FF4"/>
    <w:rsid w:val="0055221C"/>
    <w:rsid w:val="00553105"/>
    <w:rsid w:val="0055329D"/>
    <w:rsid w:val="005535F9"/>
    <w:rsid w:val="00553687"/>
    <w:rsid w:val="00553730"/>
    <w:rsid w:val="00553D40"/>
    <w:rsid w:val="00553F54"/>
    <w:rsid w:val="00554071"/>
    <w:rsid w:val="005540A3"/>
    <w:rsid w:val="005545FC"/>
    <w:rsid w:val="00554D5F"/>
    <w:rsid w:val="005563BE"/>
    <w:rsid w:val="00556945"/>
    <w:rsid w:val="00556E50"/>
    <w:rsid w:val="0055717C"/>
    <w:rsid w:val="00557C1B"/>
    <w:rsid w:val="00557EC1"/>
    <w:rsid w:val="00560024"/>
    <w:rsid w:val="0056196B"/>
    <w:rsid w:val="00561AB5"/>
    <w:rsid w:val="00562B72"/>
    <w:rsid w:val="00562EC9"/>
    <w:rsid w:val="005634E5"/>
    <w:rsid w:val="005638B7"/>
    <w:rsid w:val="00563B97"/>
    <w:rsid w:val="00564138"/>
    <w:rsid w:val="00565730"/>
    <w:rsid w:val="00566041"/>
    <w:rsid w:val="0056634D"/>
    <w:rsid w:val="0056661D"/>
    <w:rsid w:val="00566F6F"/>
    <w:rsid w:val="00567487"/>
    <w:rsid w:val="00567680"/>
    <w:rsid w:val="00567F0A"/>
    <w:rsid w:val="005701F7"/>
    <w:rsid w:val="00570349"/>
    <w:rsid w:val="00570577"/>
    <w:rsid w:val="00570BE5"/>
    <w:rsid w:val="00570FEB"/>
    <w:rsid w:val="0057129B"/>
    <w:rsid w:val="00571D45"/>
    <w:rsid w:val="00572356"/>
    <w:rsid w:val="00573245"/>
    <w:rsid w:val="005738FE"/>
    <w:rsid w:val="00574ECD"/>
    <w:rsid w:val="00575150"/>
    <w:rsid w:val="00575A56"/>
    <w:rsid w:val="00576330"/>
    <w:rsid w:val="0057695A"/>
    <w:rsid w:val="00576978"/>
    <w:rsid w:val="00576E8D"/>
    <w:rsid w:val="005770D6"/>
    <w:rsid w:val="00577BC8"/>
    <w:rsid w:val="00577C1D"/>
    <w:rsid w:val="005800EA"/>
    <w:rsid w:val="00582C54"/>
    <w:rsid w:val="00583147"/>
    <w:rsid w:val="005838C5"/>
    <w:rsid w:val="00585072"/>
    <w:rsid w:val="005855AC"/>
    <w:rsid w:val="00586398"/>
    <w:rsid w:val="005871D3"/>
    <w:rsid w:val="0059036A"/>
    <w:rsid w:val="00590733"/>
    <w:rsid w:val="00590FB9"/>
    <w:rsid w:val="00591438"/>
    <w:rsid w:val="00591701"/>
    <w:rsid w:val="005918A4"/>
    <w:rsid w:val="00591BF0"/>
    <w:rsid w:val="00593E88"/>
    <w:rsid w:val="00593FB2"/>
    <w:rsid w:val="00594194"/>
    <w:rsid w:val="005942F7"/>
    <w:rsid w:val="0059448F"/>
    <w:rsid w:val="00594688"/>
    <w:rsid w:val="00594C7B"/>
    <w:rsid w:val="0059523B"/>
    <w:rsid w:val="0059675A"/>
    <w:rsid w:val="00597FEC"/>
    <w:rsid w:val="005A0137"/>
    <w:rsid w:val="005A0736"/>
    <w:rsid w:val="005A0847"/>
    <w:rsid w:val="005A11B2"/>
    <w:rsid w:val="005A15D2"/>
    <w:rsid w:val="005A31E2"/>
    <w:rsid w:val="005A3794"/>
    <w:rsid w:val="005A3EDF"/>
    <w:rsid w:val="005A5613"/>
    <w:rsid w:val="005A7889"/>
    <w:rsid w:val="005A7AB8"/>
    <w:rsid w:val="005B0365"/>
    <w:rsid w:val="005B046A"/>
    <w:rsid w:val="005B153E"/>
    <w:rsid w:val="005B207A"/>
    <w:rsid w:val="005B21EA"/>
    <w:rsid w:val="005B2680"/>
    <w:rsid w:val="005B31FB"/>
    <w:rsid w:val="005B3507"/>
    <w:rsid w:val="005B3753"/>
    <w:rsid w:val="005B38D2"/>
    <w:rsid w:val="005B3DB4"/>
    <w:rsid w:val="005B46A3"/>
    <w:rsid w:val="005B4E31"/>
    <w:rsid w:val="005C0324"/>
    <w:rsid w:val="005C0841"/>
    <w:rsid w:val="005C3F95"/>
    <w:rsid w:val="005C454D"/>
    <w:rsid w:val="005C4963"/>
    <w:rsid w:val="005C4CA6"/>
    <w:rsid w:val="005C4F50"/>
    <w:rsid w:val="005C4FFB"/>
    <w:rsid w:val="005C52BA"/>
    <w:rsid w:val="005C539B"/>
    <w:rsid w:val="005C580C"/>
    <w:rsid w:val="005C5D34"/>
    <w:rsid w:val="005C75C4"/>
    <w:rsid w:val="005C787A"/>
    <w:rsid w:val="005C79E4"/>
    <w:rsid w:val="005C7C38"/>
    <w:rsid w:val="005D007F"/>
    <w:rsid w:val="005D011A"/>
    <w:rsid w:val="005D09A3"/>
    <w:rsid w:val="005D0D2F"/>
    <w:rsid w:val="005D145E"/>
    <w:rsid w:val="005D1EEC"/>
    <w:rsid w:val="005D1F3C"/>
    <w:rsid w:val="005D1F64"/>
    <w:rsid w:val="005D28C0"/>
    <w:rsid w:val="005D2980"/>
    <w:rsid w:val="005D2DF7"/>
    <w:rsid w:val="005D370D"/>
    <w:rsid w:val="005D3DDA"/>
    <w:rsid w:val="005D4352"/>
    <w:rsid w:val="005D49AB"/>
    <w:rsid w:val="005D4C85"/>
    <w:rsid w:val="005D5384"/>
    <w:rsid w:val="005D6833"/>
    <w:rsid w:val="005D7160"/>
    <w:rsid w:val="005D7402"/>
    <w:rsid w:val="005D78AD"/>
    <w:rsid w:val="005E155E"/>
    <w:rsid w:val="005E20AB"/>
    <w:rsid w:val="005E271A"/>
    <w:rsid w:val="005E2982"/>
    <w:rsid w:val="005E35B5"/>
    <w:rsid w:val="005E3965"/>
    <w:rsid w:val="005E39F0"/>
    <w:rsid w:val="005E3BB1"/>
    <w:rsid w:val="005E519C"/>
    <w:rsid w:val="005E54CF"/>
    <w:rsid w:val="005E5937"/>
    <w:rsid w:val="005E60CF"/>
    <w:rsid w:val="005E64BF"/>
    <w:rsid w:val="005E6AD7"/>
    <w:rsid w:val="005E6B65"/>
    <w:rsid w:val="005E70CD"/>
    <w:rsid w:val="005E7589"/>
    <w:rsid w:val="005E7941"/>
    <w:rsid w:val="005F19B3"/>
    <w:rsid w:val="005F20A5"/>
    <w:rsid w:val="005F3063"/>
    <w:rsid w:val="005F33EF"/>
    <w:rsid w:val="005F377C"/>
    <w:rsid w:val="005F3882"/>
    <w:rsid w:val="005F39A8"/>
    <w:rsid w:val="005F4324"/>
    <w:rsid w:val="005F447D"/>
    <w:rsid w:val="005F474D"/>
    <w:rsid w:val="005F51A1"/>
    <w:rsid w:val="005F5250"/>
    <w:rsid w:val="005F69E1"/>
    <w:rsid w:val="005F7154"/>
    <w:rsid w:val="005F73BD"/>
    <w:rsid w:val="005F764F"/>
    <w:rsid w:val="005F7857"/>
    <w:rsid w:val="005F7B73"/>
    <w:rsid w:val="005F7C7D"/>
    <w:rsid w:val="005F7E93"/>
    <w:rsid w:val="00600288"/>
    <w:rsid w:val="006002FB"/>
    <w:rsid w:val="006003BF"/>
    <w:rsid w:val="0060125E"/>
    <w:rsid w:val="00602FC8"/>
    <w:rsid w:val="0060313D"/>
    <w:rsid w:val="00603FB9"/>
    <w:rsid w:val="006045A2"/>
    <w:rsid w:val="00605927"/>
    <w:rsid w:val="006061DB"/>
    <w:rsid w:val="006063BF"/>
    <w:rsid w:val="00606D67"/>
    <w:rsid w:val="00606DDA"/>
    <w:rsid w:val="006100E4"/>
    <w:rsid w:val="00610266"/>
    <w:rsid w:val="00610AFE"/>
    <w:rsid w:val="00610EA1"/>
    <w:rsid w:val="00610FAC"/>
    <w:rsid w:val="0061183A"/>
    <w:rsid w:val="0061256C"/>
    <w:rsid w:val="0061293A"/>
    <w:rsid w:val="006134A8"/>
    <w:rsid w:val="00613D79"/>
    <w:rsid w:val="00613FFA"/>
    <w:rsid w:val="006145DE"/>
    <w:rsid w:val="006153DB"/>
    <w:rsid w:val="006154D1"/>
    <w:rsid w:val="006156E0"/>
    <w:rsid w:val="0061603B"/>
    <w:rsid w:val="00616602"/>
    <w:rsid w:val="00616667"/>
    <w:rsid w:val="006171DC"/>
    <w:rsid w:val="00617377"/>
    <w:rsid w:val="0061788E"/>
    <w:rsid w:val="00617A20"/>
    <w:rsid w:val="00617A87"/>
    <w:rsid w:val="00617F25"/>
    <w:rsid w:val="006202BA"/>
    <w:rsid w:val="00621245"/>
    <w:rsid w:val="0062268D"/>
    <w:rsid w:val="00622859"/>
    <w:rsid w:val="00623216"/>
    <w:rsid w:val="00624805"/>
    <w:rsid w:val="006248E6"/>
    <w:rsid w:val="0062494C"/>
    <w:rsid w:val="00624F5F"/>
    <w:rsid w:val="0062556F"/>
    <w:rsid w:val="00625968"/>
    <w:rsid w:val="006272ED"/>
    <w:rsid w:val="006276C4"/>
    <w:rsid w:val="00627EE3"/>
    <w:rsid w:val="00627FF0"/>
    <w:rsid w:val="0063167A"/>
    <w:rsid w:val="00632AB0"/>
    <w:rsid w:val="00632C3A"/>
    <w:rsid w:val="00632D39"/>
    <w:rsid w:val="00633588"/>
    <w:rsid w:val="00633648"/>
    <w:rsid w:val="006347C2"/>
    <w:rsid w:val="00634940"/>
    <w:rsid w:val="00634C5C"/>
    <w:rsid w:val="00634C98"/>
    <w:rsid w:val="00634DC0"/>
    <w:rsid w:val="006355F2"/>
    <w:rsid w:val="0063685D"/>
    <w:rsid w:val="00636895"/>
    <w:rsid w:val="00640761"/>
    <w:rsid w:val="00643101"/>
    <w:rsid w:val="0064310E"/>
    <w:rsid w:val="00643139"/>
    <w:rsid w:val="006431C4"/>
    <w:rsid w:val="0064399A"/>
    <w:rsid w:val="00643C71"/>
    <w:rsid w:val="00645B97"/>
    <w:rsid w:val="00645FD3"/>
    <w:rsid w:val="00646721"/>
    <w:rsid w:val="00646A31"/>
    <w:rsid w:val="00646AD0"/>
    <w:rsid w:val="00650DB9"/>
    <w:rsid w:val="00651693"/>
    <w:rsid w:val="006519DF"/>
    <w:rsid w:val="00651C00"/>
    <w:rsid w:val="006529C6"/>
    <w:rsid w:val="00653D19"/>
    <w:rsid w:val="0065422E"/>
    <w:rsid w:val="00654E68"/>
    <w:rsid w:val="00654E81"/>
    <w:rsid w:val="00656FC6"/>
    <w:rsid w:val="0065739B"/>
    <w:rsid w:val="00657504"/>
    <w:rsid w:val="00657A22"/>
    <w:rsid w:val="006609A5"/>
    <w:rsid w:val="00660F4E"/>
    <w:rsid w:val="0066164B"/>
    <w:rsid w:val="00662A11"/>
    <w:rsid w:val="0066322C"/>
    <w:rsid w:val="006634CC"/>
    <w:rsid w:val="00663580"/>
    <w:rsid w:val="00663EAE"/>
    <w:rsid w:val="00664313"/>
    <w:rsid w:val="00665D70"/>
    <w:rsid w:val="00665F5B"/>
    <w:rsid w:val="00666B14"/>
    <w:rsid w:val="00667D7D"/>
    <w:rsid w:val="00670926"/>
    <w:rsid w:val="00671546"/>
    <w:rsid w:val="0067155D"/>
    <w:rsid w:val="00671CAC"/>
    <w:rsid w:val="00672B7E"/>
    <w:rsid w:val="00672E3B"/>
    <w:rsid w:val="00672EA2"/>
    <w:rsid w:val="00673B14"/>
    <w:rsid w:val="00673CF7"/>
    <w:rsid w:val="00673FC5"/>
    <w:rsid w:val="00674056"/>
    <w:rsid w:val="00674CA2"/>
    <w:rsid w:val="00675AD9"/>
    <w:rsid w:val="006762EA"/>
    <w:rsid w:val="00676A92"/>
    <w:rsid w:val="00676F0D"/>
    <w:rsid w:val="00677D19"/>
    <w:rsid w:val="006811CA"/>
    <w:rsid w:val="00681A1D"/>
    <w:rsid w:val="006824AA"/>
    <w:rsid w:val="00682CA0"/>
    <w:rsid w:val="00683DD7"/>
    <w:rsid w:val="00683F1A"/>
    <w:rsid w:val="0068565C"/>
    <w:rsid w:val="00685BF2"/>
    <w:rsid w:val="0068638B"/>
    <w:rsid w:val="00686561"/>
    <w:rsid w:val="006866A5"/>
    <w:rsid w:val="00686830"/>
    <w:rsid w:val="00686A9F"/>
    <w:rsid w:val="00687434"/>
    <w:rsid w:val="00687547"/>
    <w:rsid w:val="00687F73"/>
    <w:rsid w:val="00690D87"/>
    <w:rsid w:val="00691AD1"/>
    <w:rsid w:val="00691BF1"/>
    <w:rsid w:val="00692019"/>
    <w:rsid w:val="00693172"/>
    <w:rsid w:val="0069377C"/>
    <w:rsid w:val="00694387"/>
    <w:rsid w:val="006945C3"/>
    <w:rsid w:val="00694875"/>
    <w:rsid w:val="00694964"/>
    <w:rsid w:val="00694C1E"/>
    <w:rsid w:val="00694CAC"/>
    <w:rsid w:val="00694E21"/>
    <w:rsid w:val="00694EA9"/>
    <w:rsid w:val="00695186"/>
    <w:rsid w:val="00695A4F"/>
    <w:rsid w:val="006968DC"/>
    <w:rsid w:val="00696A23"/>
    <w:rsid w:val="00696C5A"/>
    <w:rsid w:val="0069748F"/>
    <w:rsid w:val="006A08E1"/>
    <w:rsid w:val="006A10C3"/>
    <w:rsid w:val="006A11E5"/>
    <w:rsid w:val="006A1609"/>
    <w:rsid w:val="006A24DB"/>
    <w:rsid w:val="006A2BB9"/>
    <w:rsid w:val="006A3652"/>
    <w:rsid w:val="006A3768"/>
    <w:rsid w:val="006A4BD9"/>
    <w:rsid w:val="006A4E24"/>
    <w:rsid w:val="006A50BC"/>
    <w:rsid w:val="006A73D7"/>
    <w:rsid w:val="006A75A8"/>
    <w:rsid w:val="006A78F8"/>
    <w:rsid w:val="006A7EE0"/>
    <w:rsid w:val="006B0496"/>
    <w:rsid w:val="006B1311"/>
    <w:rsid w:val="006B1395"/>
    <w:rsid w:val="006B21B6"/>
    <w:rsid w:val="006B27C5"/>
    <w:rsid w:val="006B2876"/>
    <w:rsid w:val="006B30A6"/>
    <w:rsid w:val="006B3757"/>
    <w:rsid w:val="006B43B4"/>
    <w:rsid w:val="006B6469"/>
    <w:rsid w:val="006B72A2"/>
    <w:rsid w:val="006B73C0"/>
    <w:rsid w:val="006B78FF"/>
    <w:rsid w:val="006C03E6"/>
    <w:rsid w:val="006C05E8"/>
    <w:rsid w:val="006C0628"/>
    <w:rsid w:val="006C0AFE"/>
    <w:rsid w:val="006C1C61"/>
    <w:rsid w:val="006C2006"/>
    <w:rsid w:val="006C20CB"/>
    <w:rsid w:val="006C342E"/>
    <w:rsid w:val="006C413B"/>
    <w:rsid w:val="006C4700"/>
    <w:rsid w:val="006C4793"/>
    <w:rsid w:val="006C4A9F"/>
    <w:rsid w:val="006C5454"/>
    <w:rsid w:val="006C705D"/>
    <w:rsid w:val="006D00A9"/>
    <w:rsid w:val="006D019C"/>
    <w:rsid w:val="006D05F2"/>
    <w:rsid w:val="006D2027"/>
    <w:rsid w:val="006D284C"/>
    <w:rsid w:val="006D3ACB"/>
    <w:rsid w:val="006D3B4D"/>
    <w:rsid w:val="006D4410"/>
    <w:rsid w:val="006D5115"/>
    <w:rsid w:val="006D5377"/>
    <w:rsid w:val="006D574F"/>
    <w:rsid w:val="006D6121"/>
    <w:rsid w:val="006D620F"/>
    <w:rsid w:val="006D6B98"/>
    <w:rsid w:val="006D706F"/>
    <w:rsid w:val="006D771F"/>
    <w:rsid w:val="006E069E"/>
    <w:rsid w:val="006E0A43"/>
    <w:rsid w:val="006E0DE9"/>
    <w:rsid w:val="006E1F66"/>
    <w:rsid w:val="006E2703"/>
    <w:rsid w:val="006E27B6"/>
    <w:rsid w:val="006E2ADC"/>
    <w:rsid w:val="006E37A9"/>
    <w:rsid w:val="006E4102"/>
    <w:rsid w:val="006E4471"/>
    <w:rsid w:val="006E4474"/>
    <w:rsid w:val="006E5262"/>
    <w:rsid w:val="006E54BE"/>
    <w:rsid w:val="006E556C"/>
    <w:rsid w:val="006E5822"/>
    <w:rsid w:val="006E591F"/>
    <w:rsid w:val="006E59FA"/>
    <w:rsid w:val="006E7C30"/>
    <w:rsid w:val="006E7E5B"/>
    <w:rsid w:val="006F00D1"/>
    <w:rsid w:val="006F15AC"/>
    <w:rsid w:val="006F1841"/>
    <w:rsid w:val="006F206D"/>
    <w:rsid w:val="006F2394"/>
    <w:rsid w:val="006F2A5D"/>
    <w:rsid w:val="006F2A6A"/>
    <w:rsid w:val="006F2B39"/>
    <w:rsid w:val="006F3183"/>
    <w:rsid w:val="006F3582"/>
    <w:rsid w:val="006F3805"/>
    <w:rsid w:val="006F4184"/>
    <w:rsid w:val="006F4E0F"/>
    <w:rsid w:val="006F5A76"/>
    <w:rsid w:val="006F6077"/>
    <w:rsid w:val="006F7408"/>
    <w:rsid w:val="006F76FB"/>
    <w:rsid w:val="006F7941"/>
    <w:rsid w:val="006F7B8D"/>
    <w:rsid w:val="00700103"/>
    <w:rsid w:val="00700192"/>
    <w:rsid w:val="007003D9"/>
    <w:rsid w:val="007016CB"/>
    <w:rsid w:val="00701BEF"/>
    <w:rsid w:val="00702BC8"/>
    <w:rsid w:val="00702CBC"/>
    <w:rsid w:val="00702E64"/>
    <w:rsid w:val="0070405E"/>
    <w:rsid w:val="0070514B"/>
    <w:rsid w:val="0070599B"/>
    <w:rsid w:val="00706948"/>
    <w:rsid w:val="00706D1D"/>
    <w:rsid w:val="00707D48"/>
    <w:rsid w:val="00707E06"/>
    <w:rsid w:val="00710113"/>
    <w:rsid w:val="007103B7"/>
    <w:rsid w:val="00711055"/>
    <w:rsid w:val="00712385"/>
    <w:rsid w:val="007125B8"/>
    <w:rsid w:val="0071272D"/>
    <w:rsid w:val="00712A76"/>
    <w:rsid w:val="00713C68"/>
    <w:rsid w:val="007151B2"/>
    <w:rsid w:val="0071649E"/>
    <w:rsid w:val="007164E3"/>
    <w:rsid w:val="007175CA"/>
    <w:rsid w:val="0071780F"/>
    <w:rsid w:val="00717FD3"/>
    <w:rsid w:val="00720FBC"/>
    <w:rsid w:val="00721B71"/>
    <w:rsid w:val="00722844"/>
    <w:rsid w:val="0072310F"/>
    <w:rsid w:val="00723157"/>
    <w:rsid w:val="00723715"/>
    <w:rsid w:val="00723BA1"/>
    <w:rsid w:val="00723C6C"/>
    <w:rsid w:val="00723FB4"/>
    <w:rsid w:val="0072404B"/>
    <w:rsid w:val="0072599B"/>
    <w:rsid w:val="00725D67"/>
    <w:rsid w:val="00726250"/>
    <w:rsid w:val="00726573"/>
    <w:rsid w:val="00727379"/>
    <w:rsid w:val="00727430"/>
    <w:rsid w:val="00727DBF"/>
    <w:rsid w:val="00730415"/>
    <w:rsid w:val="00730497"/>
    <w:rsid w:val="0073074C"/>
    <w:rsid w:val="00731127"/>
    <w:rsid w:val="00731D35"/>
    <w:rsid w:val="0073243A"/>
    <w:rsid w:val="00732490"/>
    <w:rsid w:val="0073270D"/>
    <w:rsid w:val="0073288C"/>
    <w:rsid w:val="00732974"/>
    <w:rsid w:val="007329B4"/>
    <w:rsid w:val="007329D3"/>
    <w:rsid w:val="00732AA1"/>
    <w:rsid w:val="00733282"/>
    <w:rsid w:val="00733808"/>
    <w:rsid w:val="007342CF"/>
    <w:rsid w:val="007349BE"/>
    <w:rsid w:val="00734D5B"/>
    <w:rsid w:val="00734D90"/>
    <w:rsid w:val="0073539A"/>
    <w:rsid w:val="007353D4"/>
    <w:rsid w:val="0073553B"/>
    <w:rsid w:val="007357D1"/>
    <w:rsid w:val="00735CAA"/>
    <w:rsid w:val="0073627D"/>
    <w:rsid w:val="00736645"/>
    <w:rsid w:val="0073683E"/>
    <w:rsid w:val="00736C2A"/>
    <w:rsid w:val="00736CDE"/>
    <w:rsid w:val="00736D9B"/>
    <w:rsid w:val="00736E7D"/>
    <w:rsid w:val="00737497"/>
    <w:rsid w:val="007375D5"/>
    <w:rsid w:val="00737E34"/>
    <w:rsid w:val="007403F2"/>
    <w:rsid w:val="00740C40"/>
    <w:rsid w:val="00741B70"/>
    <w:rsid w:val="007444F3"/>
    <w:rsid w:val="007445C6"/>
    <w:rsid w:val="007459AC"/>
    <w:rsid w:val="00746D0F"/>
    <w:rsid w:val="00746E85"/>
    <w:rsid w:val="00746FEE"/>
    <w:rsid w:val="00747E0D"/>
    <w:rsid w:val="0075004E"/>
    <w:rsid w:val="0075074D"/>
    <w:rsid w:val="007510D2"/>
    <w:rsid w:val="00751192"/>
    <w:rsid w:val="007512F8"/>
    <w:rsid w:val="007514A0"/>
    <w:rsid w:val="007520B6"/>
    <w:rsid w:val="00752262"/>
    <w:rsid w:val="00754629"/>
    <w:rsid w:val="00754ABA"/>
    <w:rsid w:val="007552AC"/>
    <w:rsid w:val="007563CD"/>
    <w:rsid w:val="00757633"/>
    <w:rsid w:val="007577DD"/>
    <w:rsid w:val="007578CE"/>
    <w:rsid w:val="00760F18"/>
    <w:rsid w:val="00761784"/>
    <w:rsid w:val="007618F8"/>
    <w:rsid w:val="00761AD0"/>
    <w:rsid w:val="00761CDF"/>
    <w:rsid w:val="00762419"/>
    <w:rsid w:val="00762491"/>
    <w:rsid w:val="0076361F"/>
    <w:rsid w:val="007639E0"/>
    <w:rsid w:val="00764357"/>
    <w:rsid w:val="007643C3"/>
    <w:rsid w:val="00764BBA"/>
    <w:rsid w:val="0076519E"/>
    <w:rsid w:val="0076695E"/>
    <w:rsid w:val="00766D63"/>
    <w:rsid w:val="00766EE9"/>
    <w:rsid w:val="00766F38"/>
    <w:rsid w:val="0076792B"/>
    <w:rsid w:val="007700AB"/>
    <w:rsid w:val="007700C6"/>
    <w:rsid w:val="00770CB8"/>
    <w:rsid w:val="00771584"/>
    <w:rsid w:val="007716BF"/>
    <w:rsid w:val="00771808"/>
    <w:rsid w:val="00772C59"/>
    <w:rsid w:val="0077337C"/>
    <w:rsid w:val="00773B1C"/>
    <w:rsid w:val="00774528"/>
    <w:rsid w:val="007747D0"/>
    <w:rsid w:val="00774850"/>
    <w:rsid w:val="007760A5"/>
    <w:rsid w:val="0077613B"/>
    <w:rsid w:val="0077679A"/>
    <w:rsid w:val="0078003F"/>
    <w:rsid w:val="007804D6"/>
    <w:rsid w:val="00780A6A"/>
    <w:rsid w:val="00780A96"/>
    <w:rsid w:val="00781017"/>
    <w:rsid w:val="007811BA"/>
    <w:rsid w:val="007815E7"/>
    <w:rsid w:val="00781A2E"/>
    <w:rsid w:val="00781ADB"/>
    <w:rsid w:val="00782656"/>
    <w:rsid w:val="0078387B"/>
    <w:rsid w:val="00783B2F"/>
    <w:rsid w:val="00783BB9"/>
    <w:rsid w:val="0078405A"/>
    <w:rsid w:val="007844A3"/>
    <w:rsid w:val="007845DF"/>
    <w:rsid w:val="00784E96"/>
    <w:rsid w:val="007851BE"/>
    <w:rsid w:val="007856FE"/>
    <w:rsid w:val="00785813"/>
    <w:rsid w:val="0078620D"/>
    <w:rsid w:val="00786DE4"/>
    <w:rsid w:val="00786ECA"/>
    <w:rsid w:val="00787AB7"/>
    <w:rsid w:val="007905E0"/>
    <w:rsid w:val="00790E8B"/>
    <w:rsid w:val="00793EF3"/>
    <w:rsid w:val="007949D5"/>
    <w:rsid w:val="00794A70"/>
    <w:rsid w:val="0079538F"/>
    <w:rsid w:val="007955F3"/>
    <w:rsid w:val="00795760"/>
    <w:rsid w:val="00795CA0"/>
    <w:rsid w:val="00796C6A"/>
    <w:rsid w:val="0079733B"/>
    <w:rsid w:val="00797466"/>
    <w:rsid w:val="007978A9"/>
    <w:rsid w:val="007978B4"/>
    <w:rsid w:val="007A0DC8"/>
    <w:rsid w:val="007A0E75"/>
    <w:rsid w:val="007A0F55"/>
    <w:rsid w:val="007A1267"/>
    <w:rsid w:val="007A176A"/>
    <w:rsid w:val="007A324F"/>
    <w:rsid w:val="007A37A5"/>
    <w:rsid w:val="007A3AD0"/>
    <w:rsid w:val="007A3FA5"/>
    <w:rsid w:val="007A4503"/>
    <w:rsid w:val="007A4518"/>
    <w:rsid w:val="007A51C6"/>
    <w:rsid w:val="007A5364"/>
    <w:rsid w:val="007A5ABA"/>
    <w:rsid w:val="007A5FEF"/>
    <w:rsid w:val="007A6543"/>
    <w:rsid w:val="007A6692"/>
    <w:rsid w:val="007A6A7D"/>
    <w:rsid w:val="007A6BC2"/>
    <w:rsid w:val="007A6E0A"/>
    <w:rsid w:val="007A6EA7"/>
    <w:rsid w:val="007A7269"/>
    <w:rsid w:val="007A7694"/>
    <w:rsid w:val="007A789D"/>
    <w:rsid w:val="007B09F5"/>
    <w:rsid w:val="007B0B2B"/>
    <w:rsid w:val="007B16A5"/>
    <w:rsid w:val="007B28BC"/>
    <w:rsid w:val="007B2A40"/>
    <w:rsid w:val="007B3561"/>
    <w:rsid w:val="007B3693"/>
    <w:rsid w:val="007B3D8A"/>
    <w:rsid w:val="007B4C03"/>
    <w:rsid w:val="007B560B"/>
    <w:rsid w:val="007B5697"/>
    <w:rsid w:val="007B58E5"/>
    <w:rsid w:val="007B5CEF"/>
    <w:rsid w:val="007B65AF"/>
    <w:rsid w:val="007B665B"/>
    <w:rsid w:val="007B6C18"/>
    <w:rsid w:val="007B6E52"/>
    <w:rsid w:val="007B719F"/>
    <w:rsid w:val="007B74FB"/>
    <w:rsid w:val="007B751B"/>
    <w:rsid w:val="007B7767"/>
    <w:rsid w:val="007C0878"/>
    <w:rsid w:val="007C0CDA"/>
    <w:rsid w:val="007C0EAE"/>
    <w:rsid w:val="007C0F2B"/>
    <w:rsid w:val="007C14BA"/>
    <w:rsid w:val="007C26DC"/>
    <w:rsid w:val="007C6517"/>
    <w:rsid w:val="007C6DDC"/>
    <w:rsid w:val="007C719C"/>
    <w:rsid w:val="007C73AB"/>
    <w:rsid w:val="007C79B5"/>
    <w:rsid w:val="007D03B8"/>
    <w:rsid w:val="007D0A60"/>
    <w:rsid w:val="007D0E37"/>
    <w:rsid w:val="007D0E54"/>
    <w:rsid w:val="007D1D23"/>
    <w:rsid w:val="007D289A"/>
    <w:rsid w:val="007D29C6"/>
    <w:rsid w:val="007D31A3"/>
    <w:rsid w:val="007D33A1"/>
    <w:rsid w:val="007D41B7"/>
    <w:rsid w:val="007D49EC"/>
    <w:rsid w:val="007D4DAC"/>
    <w:rsid w:val="007D4EEB"/>
    <w:rsid w:val="007D61AE"/>
    <w:rsid w:val="007D6E63"/>
    <w:rsid w:val="007D6E73"/>
    <w:rsid w:val="007E0DD8"/>
    <w:rsid w:val="007E1777"/>
    <w:rsid w:val="007E259A"/>
    <w:rsid w:val="007E2E72"/>
    <w:rsid w:val="007E30F9"/>
    <w:rsid w:val="007E3231"/>
    <w:rsid w:val="007E3CCA"/>
    <w:rsid w:val="007E4EAB"/>
    <w:rsid w:val="007E5EB2"/>
    <w:rsid w:val="007E6225"/>
    <w:rsid w:val="007E6707"/>
    <w:rsid w:val="007E7233"/>
    <w:rsid w:val="007E7A6A"/>
    <w:rsid w:val="007F02F1"/>
    <w:rsid w:val="007F0596"/>
    <w:rsid w:val="007F063E"/>
    <w:rsid w:val="007F0818"/>
    <w:rsid w:val="007F08BE"/>
    <w:rsid w:val="007F0F29"/>
    <w:rsid w:val="007F1DB9"/>
    <w:rsid w:val="007F27A7"/>
    <w:rsid w:val="007F356B"/>
    <w:rsid w:val="007F3785"/>
    <w:rsid w:val="007F4A84"/>
    <w:rsid w:val="007F4ED5"/>
    <w:rsid w:val="007F50E3"/>
    <w:rsid w:val="007F594C"/>
    <w:rsid w:val="007F65C8"/>
    <w:rsid w:val="007F7290"/>
    <w:rsid w:val="007F78E6"/>
    <w:rsid w:val="00801BBB"/>
    <w:rsid w:val="00802234"/>
    <w:rsid w:val="008029AD"/>
    <w:rsid w:val="00802F05"/>
    <w:rsid w:val="00803309"/>
    <w:rsid w:val="0080372C"/>
    <w:rsid w:val="0080392F"/>
    <w:rsid w:val="00804232"/>
    <w:rsid w:val="00804704"/>
    <w:rsid w:val="008048AD"/>
    <w:rsid w:val="00805333"/>
    <w:rsid w:val="00805FA8"/>
    <w:rsid w:val="0080676B"/>
    <w:rsid w:val="008067BA"/>
    <w:rsid w:val="00806962"/>
    <w:rsid w:val="00806DD4"/>
    <w:rsid w:val="00807B6D"/>
    <w:rsid w:val="008102E1"/>
    <w:rsid w:val="00810E22"/>
    <w:rsid w:val="0081110D"/>
    <w:rsid w:val="008128B6"/>
    <w:rsid w:val="008133B8"/>
    <w:rsid w:val="00813430"/>
    <w:rsid w:val="00813B14"/>
    <w:rsid w:val="008158BF"/>
    <w:rsid w:val="008159AF"/>
    <w:rsid w:val="0081658E"/>
    <w:rsid w:val="0081683D"/>
    <w:rsid w:val="00817F82"/>
    <w:rsid w:val="0082121A"/>
    <w:rsid w:val="00823C40"/>
    <w:rsid w:val="00824833"/>
    <w:rsid w:val="008248F7"/>
    <w:rsid w:val="00824A68"/>
    <w:rsid w:val="00825470"/>
    <w:rsid w:val="00825605"/>
    <w:rsid w:val="00826385"/>
    <w:rsid w:val="008269E5"/>
    <w:rsid w:val="00826F93"/>
    <w:rsid w:val="0083030C"/>
    <w:rsid w:val="008331FD"/>
    <w:rsid w:val="008341B7"/>
    <w:rsid w:val="00834B45"/>
    <w:rsid w:val="00835427"/>
    <w:rsid w:val="00835E66"/>
    <w:rsid w:val="00836280"/>
    <w:rsid w:val="00836B3D"/>
    <w:rsid w:val="00836FCD"/>
    <w:rsid w:val="00837083"/>
    <w:rsid w:val="008370EF"/>
    <w:rsid w:val="008401C9"/>
    <w:rsid w:val="008410F8"/>
    <w:rsid w:val="00841FE6"/>
    <w:rsid w:val="00842820"/>
    <w:rsid w:val="00843202"/>
    <w:rsid w:val="008440A6"/>
    <w:rsid w:val="008443A4"/>
    <w:rsid w:val="00844FBC"/>
    <w:rsid w:val="0084528D"/>
    <w:rsid w:val="008452F4"/>
    <w:rsid w:val="00845A5C"/>
    <w:rsid w:val="00846347"/>
    <w:rsid w:val="0084669A"/>
    <w:rsid w:val="00846788"/>
    <w:rsid w:val="0084689A"/>
    <w:rsid w:val="00846B0D"/>
    <w:rsid w:val="00847579"/>
    <w:rsid w:val="00847905"/>
    <w:rsid w:val="00850AF4"/>
    <w:rsid w:val="00850F0E"/>
    <w:rsid w:val="008516E9"/>
    <w:rsid w:val="00851964"/>
    <w:rsid w:val="008523E1"/>
    <w:rsid w:val="008525DD"/>
    <w:rsid w:val="008528AB"/>
    <w:rsid w:val="00852C04"/>
    <w:rsid w:val="008531B7"/>
    <w:rsid w:val="0085340E"/>
    <w:rsid w:val="00853AB5"/>
    <w:rsid w:val="00853B52"/>
    <w:rsid w:val="00853B76"/>
    <w:rsid w:val="0085458C"/>
    <w:rsid w:val="00855238"/>
    <w:rsid w:val="00855AE9"/>
    <w:rsid w:val="00857262"/>
    <w:rsid w:val="00857588"/>
    <w:rsid w:val="008577EF"/>
    <w:rsid w:val="008600F4"/>
    <w:rsid w:val="008615BF"/>
    <w:rsid w:val="0086193D"/>
    <w:rsid w:val="00861987"/>
    <w:rsid w:val="00862F80"/>
    <w:rsid w:val="008630DC"/>
    <w:rsid w:val="00863B92"/>
    <w:rsid w:val="00864163"/>
    <w:rsid w:val="008641F7"/>
    <w:rsid w:val="0086457A"/>
    <w:rsid w:val="00864885"/>
    <w:rsid w:val="00864D51"/>
    <w:rsid w:val="00865681"/>
    <w:rsid w:val="008658F1"/>
    <w:rsid w:val="00865B6A"/>
    <w:rsid w:val="00865F50"/>
    <w:rsid w:val="0086673B"/>
    <w:rsid w:val="00866CA5"/>
    <w:rsid w:val="00866D8D"/>
    <w:rsid w:val="008672D1"/>
    <w:rsid w:val="00867300"/>
    <w:rsid w:val="00870B88"/>
    <w:rsid w:val="00870EC7"/>
    <w:rsid w:val="00872382"/>
    <w:rsid w:val="008728ED"/>
    <w:rsid w:val="008729C0"/>
    <w:rsid w:val="00872F80"/>
    <w:rsid w:val="00873A9C"/>
    <w:rsid w:val="00873CD9"/>
    <w:rsid w:val="00874787"/>
    <w:rsid w:val="00875165"/>
    <w:rsid w:val="00875BB7"/>
    <w:rsid w:val="0087630B"/>
    <w:rsid w:val="0087710A"/>
    <w:rsid w:val="008776FA"/>
    <w:rsid w:val="00877879"/>
    <w:rsid w:val="008815E2"/>
    <w:rsid w:val="00881D41"/>
    <w:rsid w:val="0088211D"/>
    <w:rsid w:val="00882306"/>
    <w:rsid w:val="00882889"/>
    <w:rsid w:val="00883A8E"/>
    <w:rsid w:val="008842EF"/>
    <w:rsid w:val="008846B6"/>
    <w:rsid w:val="00885380"/>
    <w:rsid w:val="00885875"/>
    <w:rsid w:val="00886153"/>
    <w:rsid w:val="0088625D"/>
    <w:rsid w:val="008863A6"/>
    <w:rsid w:val="00890A69"/>
    <w:rsid w:val="00890CB1"/>
    <w:rsid w:val="008910DC"/>
    <w:rsid w:val="00891D94"/>
    <w:rsid w:val="00892707"/>
    <w:rsid w:val="00893E9E"/>
    <w:rsid w:val="00894154"/>
    <w:rsid w:val="0089780E"/>
    <w:rsid w:val="008A0897"/>
    <w:rsid w:val="008A0928"/>
    <w:rsid w:val="008A096C"/>
    <w:rsid w:val="008A12AA"/>
    <w:rsid w:val="008A137B"/>
    <w:rsid w:val="008A1445"/>
    <w:rsid w:val="008A173A"/>
    <w:rsid w:val="008A1DAE"/>
    <w:rsid w:val="008A223A"/>
    <w:rsid w:val="008A27A8"/>
    <w:rsid w:val="008A2F8B"/>
    <w:rsid w:val="008A3622"/>
    <w:rsid w:val="008A3F47"/>
    <w:rsid w:val="008A4ED2"/>
    <w:rsid w:val="008A565D"/>
    <w:rsid w:val="008A5963"/>
    <w:rsid w:val="008A59F8"/>
    <w:rsid w:val="008A716C"/>
    <w:rsid w:val="008A73A5"/>
    <w:rsid w:val="008B0295"/>
    <w:rsid w:val="008B038C"/>
    <w:rsid w:val="008B075A"/>
    <w:rsid w:val="008B081D"/>
    <w:rsid w:val="008B08C9"/>
    <w:rsid w:val="008B1F6D"/>
    <w:rsid w:val="008B2265"/>
    <w:rsid w:val="008B27D4"/>
    <w:rsid w:val="008B29FE"/>
    <w:rsid w:val="008B2EA7"/>
    <w:rsid w:val="008B32EE"/>
    <w:rsid w:val="008B43A3"/>
    <w:rsid w:val="008B5063"/>
    <w:rsid w:val="008B5190"/>
    <w:rsid w:val="008B51AE"/>
    <w:rsid w:val="008B5E25"/>
    <w:rsid w:val="008B70AB"/>
    <w:rsid w:val="008C005E"/>
    <w:rsid w:val="008C0945"/>
    <w:rsid w:val="008C095A"/>
    <w:rsid w:val="008C2121"/>
    <w:rsid w:val="008C274A"/>
    <w:rsid w:val="008C2790"/>
    <w:rsid w:val="008C3510"/>
    <w:rsid w:val="008C3781"/>
    <w:rsid w:val="008C3B7D"/>
    <w:rsid w:val="008C4B7B"/>
    <w:rsid w:val="008C5432"/>
    <w:rsid w:val="008C5EE5"/>
    <w:rsid w:val="008C676B"/>
    <w:rsid w:val="008C6907"/>
    <w:rsid w:val="008C7419"/>
    <w:rsid w:val="008C7E2C"/>
    <w:rsid w:val="008D1F4A"/>
    <w:rsid w:val="008D2AB8"/>
    <w:rsid w:val="008D3569"/>
    <w:rsid w:val="008D35E0"/>
    <w:rsid w:val="008D46E6"/>
    <w:rsid w:val="008D49C4"/>
    <w:rsid w:val="008D5099"/>
    <w:rsid w:val="008D5E34"/>
    <w:rsid w:val="008D67AC"/>
    <w:rsid w:val="008D7726"/>
    <w:rsid w:val="008D7ECD"/>
    <w:rsid w:val="008E38DF"/>
    <w:rsid w:val="008E3C7A"/>
    <w:rsid w:val="008E44E0"/>
    <w:rsid w:val="008E4C3E"/>
    <w:rsid w:val="008E4DC4"/>
    <w:rsid w:val="008E5FC3"/>
    <w:rsid w:val="008E67E2"/>
    <w:rsid w:val="008E6DC5"/>
    <w:rsid w:val="008E6E60"/>
    <w:rsid w:val="008E723D"/>
    <w:rsid w:val="008F062B"/>
    <w:rsid w:val="008F0724"/>
    <w:rsid w:val="008F1334"/>
    <w:rsid w:val="008F1D41"/>
    <w:rsid w:val="008F1FBC"/>
    <w:rsid w:val="008F2615"/>
    <w:rsid w:val="008F3027"/>
    <w:rsid w:val="008F3740"/>
    <w:rsid w:val="008F42E6"/>
    <w:rsid w:val="008F479C"/>
    <w:rsid w:val="008F5206"/>
    <w:rsid w:val="008F5CB1"/>
    <w:rsid w:val="008F7444"/>
    <w:rsid w:val="008F76C9"/>
    <w:rsid w:val="008F79B3"/>
    <w:rsid w:val="008F7AF7"/>
    <w:rsid w:val="008F7E35"/>
    <w:rsid w:val="009003A2"/>
    <w:rsid w:val="009004FE"/>
    <w:rsid w:val="00900788"/>
    <w:rsid w:val="00900808"/>
    <w:rsid w:val="00900954"/>
    <w:rsid w:val="00900E81"/>
    <w:rsid w:val="0090116F"/>
    <w:rsid w:val="0090199F"/>
    <w:rsid w:val="00901BF3"/>
    <w:rsid w:val="00901BF5"/>
    <w:rsid w:val="0090240E"/>
    <w:rsid w:val="00902547"/>
    <w:rsid w:val="00902814"/>
    <w:rsid w:val="00903C5B"/>
    <w:rsid w:val="0090491B"/>
    <w:rsid w:val="00904BE9"/>
    <w:rsid w:val="009051F1"/>
    <w:rsid w:val="00905302"/>
    <w:rsid w:val="009055BB"/>
    <w:rsid w:val="00906F77"/>
    <w:rsid w:val="00907C6C"/>
    <w:rsid w:val="00911314"/>
    <w:rsid w:val="009113FC"/>
    <w:rsid w:val="00911415"/>
    <w:rsid w:val="009125AC"/>
    <w:rsid w:val="0091275A"/>
    <w:rsid w:val="00912FB2"/>
    <w:rsid w:val="0091330B"/>
    <w:rsid w:val="0091356B"/>
    <w:rsid w:val="0091398C"/>
    <w:rsid w:val="009143A4"/>
    <w:rsid w:val="009149DB"/>
    <w:rsid w:val="00915355"/>
    <w:rsid w:val="00915645"/>
    <w:rsid w:val="00915908"/>
    <w:rsid w:val="00916509"/>
    <w:rsid w:val="00916813"/>
    <w:rsid w:val="00916DAD"/>
    <w:rsid w:val="009177BB"/>
    <w:rsid w:val="00917A63"/>
    <w:rsid w:val="00917E02"/>
    <w:rsid w:val="00920A55"/>
    <w:rsid w:val="00920ACF"/>
    <w:rsid w:val="00920D69"/>
    <w:rsid w:val="009211AF"/>
    <w:rsid w:val="009217B6"/>
    <w:rsid w:val="00921CAF"/>
    <w:rsid w:val="0092275A"/>
    <w:rsid w:val="00922A73"/>
    <w:rsid w:val="00924012"/>
    <w:rsid w:val="00924C30"/>
    <w:rsid w:val="00924F69"/>
    <w:rsid w:val="0092585B"/>
    <w:rsid w:val="0092588E"/>
    <w:rsid w:val="00925CF5"/>
    <w:rsid w:val="00925D62"/>
    <w:rsid w:val="00925D68"/>
    <w:rsid w:val="00926240"/>
    <w:rsid w:val="00926862"/>
    <w:rsid w:val="00926DCC"/>
    <w:rsid w:val="009273FD"/>
    <w:rsid w:val="009279E9"/>
    <w:rsid w:val="00927A9A"/>
    <w:rsid w:val="009301E8"/>
    <w:rsid w:val="0093367E"/>
    <w:rsid w:val="00934000"/>
    <w:rsid w:val="009342A0"/>
    <w:rsid w:val="00935629"/>
    <w:rsid w:val="00935A5A"/>
    <w:rsid w:val="00935D62"/>
    <w:rsid w:val="009360E1"/>
    <w:rsid w:val="00936800"/>
    <w:rsid w:val="009369A4"/>
    <w:rsid w:val="00936C49"/>
    <w:rsid w:val="009370AB"/>
    <w:rsid w:val="0093732F"/>
    <w:rsid w:val="00940463"/>
    <w:rsid w:val="009409B1"/>
    <w:rsid w:val="00942DAF"/>
    <w:rsid w:val="0094356E"/>
    <w:rsid w:val="00943587"/>
    <w:rsid w:val="00943728"/>
    <w:rsid w:val="00943FCF"/>
    <w:rsid w:val="009440F6"/>
    <w:rsid w:val="009442DA"/>
    <w:rsid w:val="00944395"/>
    <w:rsid w:val="00945332"/>
    <w:rsid w:val="00946AD3"/>
    <w:rsid w:val="00947405"/>
    <w:rsid w:val="009475C5"/>
    <w:rsid w:val="00947D83"/>
    <w:rsid w:val="00947EB8"/>
    <w:rsid w:val="009504B5"/>
    <w:rsid w:val="0095072F"/>
    <w:rsid w:val="0095075F"/>
    <w:rsid w:val="00950A99"/>
    <w:rsid w:val="0095193A"/>
    <w:rsid w:val="00951DEA"/>
    <w:rsid w:val="00952405"/>
    <w:rsid w:val="00952681"/>
    <w:rsid w:val="0095307A"/>
    <w:rsid w:val="00953691"/>
    <w:rsid w:val="0095380C"/>
    <w:rsid w:val="00954BF5"/>
    <w:rsid w:val="00955290"/>
    <w:rsid w:val="00955369"/>
    <w:rsid w:val="00955D7E"/>
    <w:rsid w:val="00956F39"/>
    <w:rsid w:val="00957340"/>
    <w:rsid w:val="0095794F"/>
    <w:rsid w:val="009612BE"/>
    <w:rsid w:val="00961427"/>
    <w:rsid w:val="00961A8E"/>
    <w:rsid w:val="0096397A"/>
    <w:rsid w:val="009640A1"/>
    <w:rsid w:val="0096465D"/>
    <w:rsid w:val="0096477D"/>
    <w:rsid w:val="009649B9"/>
    <w:rsid w:val="009652C8"/>
    <w:rsid w:val="00966629"/>
    <w:rsid w:val="00966887"/>
    <w:rsid w:val="00966CC7"/>
    <w:rsid w:val="00967E28"/>
    <w:rsid w:val="00970429"/>
    <w:rsid w:val="00970941"/>
    <w:rsid w:val="00970DD7"/>
    <w:rsid w:val="00971861"/>
    <w:rsid w:val="00971E77"/>
    <w:rsid w:val="00973B8C"/>
    <w:rsid w:val="00975D62"/>
    <w:rsid w:val="00976B1E"/>
    <w:rsid w:val="00977449"/>
    <w:rsid w:val="0097764B"/>
    <w:rsid w:val="00977A6F"/>
    <w:rsid w:val="00980258"/>
    <w:rsid w:val="009819B4"/>
    <w:rsid w:val="00982DFF"/>
    <w:rsid w:val="009836BE"/>
    <w:rsid w:val="00983BC6"/>
    <w:rsid w:val="00983C93"/>
    <w:rsid w:val="00983DAE"/>
    <w:rsid w:val="0098401E"/>
    <w:rsid w:val="009855EE"/>
    <w:rsid w:val="0098577A"/>
    <w:rsid w:val="00985934"/>
    <w:rsid w:val="0098607B"/>
    <w:rsid w:val="0098638E"/>
    <w:rsid w:val="00986EA1"/>
    <w:rsid w:val="0098708B"/>
    <w:rsid w:val="0098713B"/>
    <w:rsid w:val="009871A0"/>
    <w:rsid w:val="0098737C"/>
    <w:rsid w:val="009876E3"/>
    <w:rsid w:val="0098780C"/>
    <w:rsid w:val="009878FE"/>
    <w:rsid w:val="00987B98"/>
    <w:rsid w:val="00990BDB"/>
    <w:rsid w:val="00992B2C"/>
    <w:rsid w:val="009932AF"/>
    <w:rsid w:val="009948F1"/>
    <w:rsid w:val="009949E5"/>
    <w:rsid w:val="00994BA8"/>
    <w:rsid w:val="00994D11"/>
    <w:rsid w:val="00994D1F"/>
    <w:rsid w:val="00996115"/>
    <w:rsid w:val="00996315"/>
    <w:rsid w:val="00996731"/>
    <w:rsid w:val="009967CF"/>
    <w:rsid w:val="00997081"/>
    <w:rsid w:val="00997B34"/>
    <w:rsid w:val="009A07F6"/>
    <w:rsid w:val="009A0806"/>
    <w:rsid w:val="009A1D3F"/>
    <w:rsid w:val="009A293A"/>
    <w:rsid w:val="009A296A"/>
    <w:rsid w:val="009A299A"/>
    <w:rsid w:val="009A2A4D"/>
    <w:rsid w:val="009A2FCE"/>
    <w:rsid w:val="009A3F33"/>
    <w:rsid w:val="009A4A2B"/>
    <w:rsid w:val="009A53DA"/>
    <w:rsid w:val="009A57EC"/>
    <w:rsid w:val="009A6129"/>
    <w:rsid w:val="009A6D95"/>
    <w:rsid w:val="009A6FC4"/>
    <w:rsid w:val="009A7A67"/>
    <w:rsid w:val="009A7AE2"/>
    <w:rsid w:val="009A7D35"/>
    <w:rsid w:val="009B0500"/>
    <w:rsid w:val="009B0C77"/>
    <w:rsid w:val="009B0F68"/>
    <w:rsid w:val="009B14F2"/>
    <w:rsid w:val="009B1565"/>
    <w:rsid w:val="009B3632"/>
    <w:rsid w:val="009B376E"/>
    <w:rsid w:val="009B3EEA"/>
    <w:rsid w:val="009B3FF1"/>
    <w:rsid w:val="009B4EDD"/>
    <w:rsid w:val="009B59A2"/>
    <w:rsid w:val="009B7050"/>
    <w:rsid w:val="009B7B7F"/>
    <w:rsid w:val="009B7C1E"/>
    <w:rsid w:val="009C0565"/>
    <w:rsid w:val="009C26F5"/>
    <w:rsid w:val="009C44E1"/>
    <w:rsid w:val="009C576A"/>
    <w:rsid w:val="009C590D"/>
    <w:rsid w:val="009C6530"/>
    <w:rsid w:val="009C7624"/>
    <w:rsid w:val="009D2C9A"/>
    <w:rsid w:val="009D2D64"/>
    <w:rsid w:val="009D301C"/>
    <w:rsid w:val="009D3214"/>
    <w:rsid w:val="009D3773"/>
    <w:rsid w:val="009D4022"/>
    <w:rsid w:val="009D468B"/>
    <w:rsid w:val="009D4A42"/>
    <w:rsid w:val="009D4B92"/>
    <w:rsid w:val="009D4D47"/>
    <w:rsid w:val="009D52AB"/>
    <w:rsid w:val="009D55AE"/>
    <w:rsid w:val="009D5D19"/>
    <w:rsid w:val="009D6C9A"/>
    <w:rsid w:val="009D6E84"/>
    <w:rsid w:val="009D71F1"/>
    <w:rsid w:val="009E049B"/>
    <w:rsid w:val="009E0AB1"/>
    <w:rsid w:val="009E13F8"/>
    <w:rsid w:val="009E1401"/>
    <w:rsid w:val="009E27BF"/>
    <w:rsid w:val="009E292B"/>
    <w:rsid w:val="009E38A7"/>
    <w:rsid w:val="009E39E8"/>
    <w:rsid w:val="009E3ACC"/>
    <w:rsid w:val="009E3BD0"/>
    <w:rsid w:val="009E475E"/>
    <w:rsid w:val="009E4B09"/>
    <w:rsid w:val="009E54CF"/>
    <w:rsid w:val="009E5DD4"/>
    <w:rsid w:val="009E5E9F"/>
    <w:rsid w:val="009E6052"/>
    <w:rsid w:val="009E6C66"/>
    <w:rsid w:val="009E7508"/>
    <w:rsid w:val="009E7B83"/>
    <w:rsid w:val="009F103C"/>
    <w:rsid w:val="009F163D"/>
    <w:rsid w:val="009F1C1E"/>
    <w:rsid w:val="009F1DE7"/>
    <w:rsid w:val="009F1EF4"/>
    <w:rsid w:val="009F20BB"/>
    <w:rsid w:val="009F3079"/>
    <w:rsid w:val="009F31BD"/>
    <w:rsid w:val="009F37C5"/>
    <w:rsid w:val="009F4271"/>
    <w:rsid w:val="009F428C"/>
    <w:rsid w:val="009F431D"/>
    <w:rsid w:val="009F5066"/>
    <w:rsid w:val="009F5AEF"/>
    <w:rsid w:val="009F6454"/>
    <w:rsid w:val="009F6F4A"/>
    <w:rsid w:val="009F7041"/>
    <w:rsid w:val="009F71BD"/>
    <w:rsid w:val="009F71F6"/>
    <w:rsid w:val="009F75B0"/>
    <w:rsid w:val="00A00EB5"/>
    <w:rsid w:val="00A026C1"/>
    <w:rsid w:val="00A036BE"/>
    <w:rsid w:val="00A04F4F"/>
    <w:rsid w:val="00A04FD7"/>
    <w:rsid w:val="00A053DC"/>
    <w:rsid w:val="00A05586"/>
    <w:rsid w:val="00A05672"/>
    <w:rsid w:val="00A064CC"/>
    <w:rsid w:val="00A06AC9"/>
    <w:rsid w:val="00A06E0D"/>
    <w:rsid w:val="00A07892"/>
    <w:rsid w:val="00A105E8"/>
    <w:rsid w:val="00A13213"/>
    <w:rsid w:val="00A14D63"/>
    <w:rsid w:val="00A15833"/>
    <w:rsid w:val="00A15CDC"/>
    <w:rsid w:val="00A15DD0"/>
    <w:rsid w:val="00A167C7"/>
    <w:rsid w:val="00A17254"/>
    <w:rsid w:val="00A175D3"/>
    <w:rsid w:val="00A176C2"/>
    <w:rsid w:val="00A204F0"/>
    <w:rsid w:val="00A206DA"/>
    <w:rsid w:val="00A20952"/>
    <w:rsid w:val="00A214FF"/>
    <w:rsid w:val="00A2170C"/>
    <w:rsid w:val="00A21F2C"/>
    <w:rsid w:val="00A22656"/>
    <w:rsid w:val="00A229B3"/>
    <w:rsid w:val="00A23AB7"/>
    <w:rsid w:val="00A23AF9"/>
    <w:rsid w:val="00A240A5"/>
    <w:rsid w:val="00A2516D"/>
    <w:rsid w:val="00A25EA5"/>
    <w:rsid w:val="00A26153"/>
    <w:rsid w:val="00A26623"/>
    <w:rsid w:val="00A2686E"/>
    <w:rsid w:val="00A26C0C"/>
    <w:rsid w:val="00A26D97"/>
    <w:rsid w:val="00A27230"/>
    <w:rsid w:val="00A273BC"/>
    <w:rsid w:val="00A2749D"/>
    <w:rsid w:val="00A300D7"/>
    <w:rsid w:val="00A30C46"/>
    <w:rsid w:val="00A30FD5"/>
    <w:rsid w:val="00A31829"/>
    <w:rsid w:val="00A31AA8"/>
    <w:rsid w:val="00A31CDC"/>
    <w:rsid w:val="00A31EF2"/>
    <w:rsid w:val="00A323B3"/>
    <w:rsid w:val="00A325BB"/>
    <w:rsid w:val="00A32CE5"/>
    <w:rsid w:val="00A34132"/>
    <w:rsid w:val="00A341D0"/>
    <w:rsid w:val="00A34922"/>
    <w:rsid w:val="00A3531D"/>
    <w:rsid w:val="00A35B7D"/>
    <w:rsid w:val="00A36384"/>
    <w:rsid w:val="00A36512"/>
    <w:rsid w:val="00A366C2"/>
    <w:rsid w:val="00A36C10"/>
    <w:rsid w:val="00A36EBA"/>
    <w:rsid w:val="00A37005"/>
    <w:rsid w:val="00A40918"/>
    <w:rsid w:val="00A409B4"/>
    <w:rsid w:val="00A40B07"/>
    <w:rsid w:val="00A40C2B"/>
    <w:rsid w:val="00A40CCD"/>
    <w:rsid w:val="00A43C9F"/>
    <w:rsid w:val="00A43EA6"/>
    <w:rsid w:val="00A440FB"/>
    <w:rsid w:val="00A443EE"/>
    <w:rsid w:val="00A45C96"/>
    <w:rsid w:val="00A46211"/>
    <w:rsid w:val="00A466C8"/>
    <w:rsid w:val="00A47022"/>
    <w:rsid w:val="00A47121"/>
    <w:rsid w:val="00A47262"/>
    <w:rsid w:val="00A472CD"/>
    <w:rsid w:val="00A51527"/>
    <w:rsid w:val="00A51700"/>
    <w:rsid w:val="00A51F50"/>
    <w:rsid w:val="00A52335"/>
    <w:rsid w:val="00A5289F"/>
    <w:rsid w:val="00A52BA7"/>
    <w:rsid w:val="00A533C5"/>
    <w:rsid w:val="00A5372F"/>
    <w:rsid w:val="00A540A6"/>
    <w:rsid w:val="00A542A8"/>
    <w:rsid w:val="00A545F9"/>
    <w:rsid w:val="00A5508D"/>
    <w:rsid w:val="00A5535F"/>
    <w:rsid w:val="00A55475"/>
    <w:rsid w:val="00A56753"/>
    <w:rsid w:val="00A57709"/>
    <w:rsid w:val="00A57805"/>
    <w:rsid w:val="00A600E0"/>
    <w:rsid w:val="00A60B5A"/>
    <w:rsid w:val="00A61024"/>
    <w:rsid w:val="00A612A9"/>
    <w:rsid w:val="00A6148D"/>
    <w:rsid w:val="00A61523"/>
    <w:rsid w:val="00A6273F"/>
    <w:rsid w:val="00A6378D"/>
    <w:rsid w:val="00A638CB"/>
    <w:rsid w:val="00A63E19"/>
    <w:rsid w:val="00A644B5"/>
    <w:rsid w:val="00A64CBE"/>
    <w:rsid w:val="00A64F29"/>
    <w:rsid w:val="00A6548A"/>
    <w:rsid w:val="00A6583D"/>
    <w:rsid w:val="00A678A3"/>
    <w:rsid w:val="00A67C23"/>
    <w:rsid w:val="00A67DDD"/>
    <w:rsid w:val="00A67DED"/>
    <w:rsid w:val="00A70CBB"/>
    <w:rsid w:val="00A711DC"/>
    <w:rsid w:val="00A71756"/>
    <w:rsid w:val="00A71D93"/>
    <w:rsid w:val="00A725A4"/>
    <w:rsid w:val="00A725FF"/>
    <w:rsid w:val="00A72769"/>
    <w:rsid w:val="00A727C1"/>
    <w:rsid w:val="00A72939"/>
    <w:rsid w:val="00A757CE"/>
    <w:rsid w:val="00A75B9A"/>
    <w:rsid w:val="00A75D8F"/>
    <w:rsid w:val="00A770E6"/>
    <w:rsid w:val="00A7764C"/>
    <w:rsid w:val="00A777BD"/>
    <w:rsid w:val="00A8013B"/>
    <w:rsid w:val="00A8028A"/>
    <w:rsid w:val="00A80F35"/>
    <w:rsid w:val="00A8101E"/>
    <w:rsid w:val="00A81686"/>
    <w:rsid w:val="00A81953"/>
    <w:rsid w:val="00A81990"/>
    <w:rsid w:val="00A81B4A"/>
    <w:rsid w:val="00A82901"/>
    <w:rsid w:val="00A8408B"/>
    <w:rsid w:val="00A8470D"/>
    <w:rsid w:val="00A84924"/>
    <w:rsid w:val="00A84B74"/>
    <w:rsid w:val="00A8534E"/>
    <w:rsid w:val="00A86439"/>
    <w:rsid w:val="00A86F2F"/>
    <w:rsid w:val="00A87587"/>
    <w:rsid w:val="00A87F7B"/>
    <w:rsid w:val="00A87FFA"/>
    <w:rsid w:val="00A90A05"/>
    <w:rsid w:val="00A90F9E"/>
    <w:rsid w:val="00A91672"/>
    <w:rsid w:val="00A92342"/>
    <w:rsid w:val="00A92612"/>
    <w:rsid w:val="00A92DF6"/>
    <w:rsid w:val="00A92EFF"/>
    <w:rsid w:val="00A93083"/>
    <w:rsid w:val="00A93BAB"/>
    <w:rsid w:val="00A94769"/>
    <w:rsid w:val="00A953BA"/>
    <w:rsid w:val="00A95952"/>
    <w:rsid w:val="00A95D22"/>
    <w:rsid w:val="00A95F43"/>
    <w:rsid w:val="00A96052"/>
    <w:rsid w:val="00A962D9"/>
    <w:rsid w:val="00A968D5"/>
    <w:rsid w:val="00A96BBD"/>
    <w:rsid w:val="00A96C76"/>
    <w:rsid w:val="00A96E16"/>
    <w:rsid w:val="00AA00CD"/>
    <w:rsid w:val="00AA0735"/>
    <w:rsid w:val="00AA2381"/>
    <w:rsid w:val="00AA2EB8"/>
    <w:rsid w:val="00AA3B87"/>
    <w:rsid w:val="00AA43FB"/>
    <w:rsid w:val="00AA4717"/>
    <w:rsid w:val="00AA4765"/>
    <w:rsid w:val="00AA4877"/>
    <w:rsid w:val="00AA5531"/>
    <w:rsid w:val="00AA59AB"/>
    <w:rsid w:val="00AA5F4F"/>
    <w:rsid w:val="00AA62B6"/>
    <w:rsid w:val="00AA7F09"/>
    <w:rsid w:val="00AB01A9"/>
    <w:rsid w:val="00AB065E"/>
    <w:rsid w:val="00AB0CEC"/>
    <w:rsid w:val="00AB156E"/>
    <w:rsid w:val="00AB21B1"/>
    <w:rsid w:val="00AB2BA2"/>
    <w:rsid w:val="00AB314C"/>
    <w:rsid w:val="00AB3712"/>
    <w:rsid w:val="00AB46DF"/>
    <w:rsid w:val="00AB5816"/>
    <w:rsid w:val="00AB5A3E"/>
    <w:rsid w:val="00AB5F0E"/>
    <w:rsid w:val="00AB6B28"/>
    <w:rsid w:val="00AB75E1"/>
    <w:rsid w:val="00AB79E1"/>
    <w:rsid w:val="00AC11AC"/>
    <w:rsid w:val="00AC13AE"/>
    <w:rsid w:val="00AC14C9"/>
    <w:rsid w:val="00AC2895"/>
    <w:rsid w:val="00AC377B"/>
    <w:rsid w:val="00AC4581"/>
    <w:rsid w:val="00AC460D"/>
    <w:rsid w:val="00AC4772"/>
    <w:rsid w:val="00AC4DD3"/>
    <w:rsid w:val="00AC547F"/>
    <w:rsid w:val="00AC60DE"/>
    <w:rsid w:val="00AC6EA9"/>
    <w:rsid w:val="00AC7FAD"/>
    <w:rsid w:val="00AD1D27"/>
    <w:rsid w:val="00AD27C5"/>
    <w:rsid w:val="00AD2A37"/>
    <w:rsid w:val="00AD2A9B"/>
    <w:rsid w:val="00AD2ABF"/>
    <w:rsid w:val="00AD3357"/>
    <w:rsid w:val="00AD3D26"/>
    <w:rsid w:val="00AD57FD"/>
    <w:rsid w:val="00AD650C"/>
    <w:rsid w:val="00AD6B40"/>
    <w:rsid w:val="00AD6F01"/>
    <w:rsid w:val="00AD711A"/>
    <w:rsid w:val="00AD723F"/>
    <w:rsid w:val="00AD75C5"/>
    <w:rsid w:val="00AD77A1"/>
    <w:rsid w:val="00AD7A7B"/>
    <w:rsid w:val="00AD7AEE"/>
    <w:rsid w:val="00AD7E89"/>
    <w:rsid w:val="00AE0BCA"/>
    <w:rsid w:val="00AE0C6D"/>
    <w:rsid w:val="00AE1097"/>
    <w:rsid w:val="00AE14DC"/>
    <w:rsid w:val="00AE17B2"/>
    <w:rsid w:val="00AE204C"/>
    <w:rsid w:val="00AE2121"/>
    <w:rsid w:val="00AE2E01"/>
    <w:rsid w:val="00AE37EB"/>
    <w:rsid w:val="00AE388E"/>
    <w:rsid w:val="00AE3E3C"/>
    <w:rsid w:val="00AE41DF"/>
    <w:rsid w:val="00AE4D25"/>
    <w:rsid w:val="00AE5254"/>
    <w:rsid w:val="00AE546C"/>
    <w:rsid w:val="00AE5F76"/>
    <w:rsid w:val="00AE6BC9"/>
    <w:rsid w:val="00AE7CFC"/>
    <w:rsid w:val="00AF0346"/>
    <w:rsid w:val="00AF077A"/>
    <w:rsid w:val="00AF1D00"/>
    <w:rsid w:val="00AF436A"/>
    <w:rsid w:val="00AF4CED"/>
    <w:rsid w:val="00AF5F18"/>
    <w:rsid w:val="00AF6F17"/>
    <w:rsid w:val="00AF7A98"/>
    <w:rsid w:val="00AF7E00"/>
    <w:rsid w:val="00B0010E"/>
    <w:rsid w:val="00B00AD2"/>
    <w:rsid w:val="00B02691"/>
    <w:rsid w:val="00B0347F"/>
    <w:rsid w:val="00B03B97"/>
    <w:rsid w:val="00B04900"/>
    <w:rsid w:val="00B0614B"/>
    <w:rsid w:val="00B06A36"/>
    <w:rsid w:val="00B06F5A"/>
    <w:rsid w:val="00B077DA"/>
    <w:rsid w:val="00B07E9E"/>
    <w:rsid w:val="00B10BE0"/>
    <w:rsid w:val="00B11DCE"/>
    <w:rsid w:val="00B121F5"/>
    <w:rsid w:val="00B12306"/>
    <w:rsid w:val="00B132B3"/>
    <w:rsid w:val="00B142B2"/>
    <w:rsid w:val="00B15494"/>
    <w:rsid w:val="00B1594A"/>
    <w:rsid w:val="00B16F99"/>
    <w:rsid w:val="00B17312"/>
    <w:rsid w:val="00B17A2D"/>
    <w:rsid w:val="00B20EA2"/>
    <w:rsid w:val="00B20EAF"/>
    <w:rsid w:val="00B229AB"/>
    <w:rsid w:val="00B22A3B"/>
    <w:rsid w:val="00B22BE7"/>
    <w:rsid w:val="00B232A0"/>
    <w:rsid w:val="00B23326"/>
    <w:rsid w:val="00B233D3"/>
    <w:rsid w:val="00B234F5"/>
    <w:rsid w:val="00B237FA"/>
    <w:rsid w:val="00B23F77"/>
    <w:rsid w:val="00B24292"/>
    <w:rsid w:val="00B251DD"/>
    <w:rsid w:val="00B2554E"/>
    <w:rsid w:val="00B2663E"/>
    <w:rsid w:val="00B26678"/>
    <w:rsid w:val="00B27B18"/>
    <w:rsid w:val="00B32BEC"/>
    <w:rsid w:val="00B32C40"/>
    <w:rsid w:val="00B334D8"/>
    <w:rsid w:val="00B351B1"/>
    <w:rsid w:val="00B3549B"/>
    <w:rsid w:val="00B35ADC"/>
    <w:rsid w:val="00B35B90"/>
    <w:rsid w:val="00B35E59"/>
    <w:rsid w:val="00B35F78"/>
    <w:rsid w:val="00B37635"/>
    <w:rsid w:val="00B41D94"/>
    <w:rsid w:val="00B41FA7"/>
    <w:rsid w:val="00B42318"/>
    <w:rsid w:val="00B427FD"/>
    <w:rsid w:val="00B42D6E"/>
    <w:rsid w:val="00B43380"/>
    <w:rsid w:val="00B4350E"/>
    <w:rsid w:val="00B43D8A"/>
    <w:rsid w:val="00B44290"/>
    <w:rsid w:val="00B457E4"/>
    <w:rsid w:val="00B45F5E"/>
    <w:rsid w:val="00B46323"/>
    <w:rsid w:val="00B500BE"/>
    <w:rsid w:val="00B5047B"/>
    <w:rsid w:val="00B50552"/>
    <w:rsid w:val="00B507BF"/>
    <w:rsid w:val="00B51833"/>
    <w:rsid w:val="00B521D1"/>
    <w:rsid w:val="00B52592"/>
    <w:rsid w:val="00B526EC"/>
    <w:rsid w:val="00B5274E"/>
    <w:rsid w:val="00B5281A"/>
    <w:rsid w:val="00B532A1"/>
    <w:rsid w:val="00B53799"/>
    <w:rsid w:val="00B5452B"/>
    <w:rsid w:val="00B548F0"/>
    <w:rsid w:val="00B5561A"/>
    <w:rsid w:val="00B563D3"/>
    <w:rsid w:val="00B56832"/>
    <w:rsid w:val="00B57A30"/>
    <w:rsid w:val="00B57C35"/>
    <w:rsid w:val="00B57C79"/>
    <w:rsid w:val="00B6018B"/>
    <w:rsid w:val="00B60CFB"/>
    <w:rsid w:val="00B60EDC"/>
    <w:rsid w:val="00B60F40"/>
    <w:rsid w:val="00B619DC"/>
    <w:rsid w:val="00B61DDD"/>
    <w:rsid w:val="00B62362"/>
    <w:rsid w:val="00B632F3"/>
    <w:rsid w:val="00B63536"/>
    <w:rsid w:val="00B63941"/>
    <w:rsid w:val="00B644E5"/>
    <w:rsid w:val="00B64584"/>
    <w:rsid w:val="00B65609"/>
    <w:rsid w:val="00B65CF1"/>
    <w:rsid w:val="00B67504"/>
    <w:rsid w:val="00B70CA3"/>
    <w:rsid w:val="00B72115"/>
    <w:rsid w:val="00B72B5B"/>
    <w:rsid w:val="00B7308F"/>
    <w:rsid w:val="00B730A5"/>
    <w:rsid w:val="00B73938"/>
    <w:rsid w:val="00B76679"/>
    <w:rsid w:val="00B771DC"/>
    <w:rsid w:val="00B779DF"/>
    <w:rsid w:val="00B800B8"/>
    <w:rsid w:val="00B82201"/>
    <w:rsid w:val="00B82977"/>
    <w:rsid w:val="00B8312A"/>
    <w:rsid w:val="00B83167"/>
    <w:rsid w:val="00B83E6F"/>
    <w:rsid w:val="00B843AB"/>
    <w:rsid w:val="00B84C9E"/>
    <w:rsid w:val="00B854BF"/>
    <w:rsid w:val="00B8590C"/>
    <w:rsid w:val="00B85E98"/>
    <w:rsid w:val="00B85EC0"/>
    <w:rsid w:val="00B86880"/>
    <w:rsid w:val="00B901A3"/>
    <w:rsid w:val="00B90991"/>
    <w:rsid w:val="00B90A4A"/>
    <w:rsid w:val="00B91458"/>
    <w:rsid w:val="00B91E65"/>
    <w:rsid w:val="00B92519"/>
    <w:rsid w:val="00B93CE1"/>
    <w:rsid w:val="00B93DE6"/>
    <w:rsid w:val="00B94021"/>
    <w:rsid w:val="00B949EB"/>
    <w:rsid w:val="00B9559F"/>
    <w:rsid w:val="00B95B13"/>
    <w:rsid w:val="00B95C28"/>
    <w:rsid w:val="00B96BAA"/>
    <w:rsid w:val="00B97802"/>
    <w:rsid w:val="00B97C23"/>
    <w:rsid w:val="00BA0AB1"/>
    <w:rsid w:val="00BA0E99"/>
    <w:rsid w:val="00BA10B0"/>
    <w:rsid w:val="00BA1780"/>
    <w:rsid w:val="00BA1A2E"/>
    <w:rsid w:val="00BA1AD9"/>
    <w:rsid w:val="00BA2488"/>
    <w:rsid w:val="00BA3A6B"/>
    <w:rsid w:val="00BA4362"/>
    <w:rsid w:val="00BA43C0"/>
    <w:rsid w:val="00BA4E9C"/>
    <w:rsid w:val="00BA7429"/>
    <w:rsid w:val="00BA7954"/>
    <w:rsid w:val="00BB01C6"/>
    <w:rsid w:val="00BB0C8B"/>
    <w:rsid w:val="00BB0C9F"/>
    <w:rsid w:val="00BB1F1B"/>
    <w:rsid w:val="00BB2354"/>
    <w:rsid w:val="00BB4B9F"/>
    <w:rsid w:val="00BB4BE2"/>
    <w:rsid w:val="00BB4EA6"/>
    <w:rsid w:val="00BB5074"/>
    <w:rsid w:val="00BB5313"/>
    <w:rsid w:val="00BB5837"/>
    <w:rsid w:val="00BB6C36"/>
    <w:rsid w:val="00BB6F36"/>
    <w:rsid w:val="00BB7640"/>
    <w:rsid w:val="00BB7B3D"/>
    <w:rsid w:val="00BB7D73"/>
    <w:rsid w:val="00BC00FE"/>
    <w:rsid w:val="00BC06FC"/>
    <w:rsid w:val="00BC1673"/>
    <w:rsid w:val="00BC2202"/>
    <w:rsid w:val="00BC2336"/>
    <w:rsid w:val="00BC2B0A"/>
    <w:rsid w:val="00BC3724"/>
    <w:rsid w:val="00BC4650"/>
    <w:rsid w:val="00BC465B"/>
    <w:rsid w:val="00BC49DC"/>
    <w:rsid w:val="00BC53FD"/>
    <w:rsid w:val="00BC575E"/>
    <w:rsid w:val="00BC7A7C"/>
    <w:rsid w:val="00BD00CE"/>
    <w:rsid w:val="00BD07AF"/>
    <w:rsid w:val="00BD0C67"/>
    <w:rsid w:val="00BD1443"/>
    <w:rsid w:val="00BD17C3"/>
    <w:rsid w:val="00BD18C0"/>
    <w:rsid w:val="00BD1CBA"/>
    <w:rsid w:val="00BD1F41"/>
    <w:rsid w:val="00BD27AF"/>
    <w:rsid w:val="00BD2B31"/>
    <w:rsid w:val="00BD3587"/>
    <w:rsid w:val="00BD4521"/>
    <w:rsid w:val="00BD4909"/>
    <w:rsid w:val="00BE073B"/>
    <w:rsid w:val="00BE16EB"/>
    <w:rsid w:val="00BE1757"/>
    <w:rsid w:val="00BE1D3F"/>
    <w:rsid w:val="00BE237C"/>
    <w:rsid w:val="00BE3298"/>
    <w:rsid w:val="00BE3B57"/>
    <w:rsid w:val="00BE4A85"/>
    <w:rsid w:val="00BE4BAC"/>
    <w:rsid w:val="00BE50C9"/>
    <w:rsid w:val="00BE5ABA"/>
    <w:rsid w:val="00BE6A38"/>
    <w:rsid w:val="00BE7182"/>
    <w:rsid w:val="00BE7837"/>
    <w:rsid w:val="00BF0E38"/>
    <w:rsid w:val="00BF110B"/>
    <w:rsid w:val="00BF12B8"/>
    <w:rsid w:val="00BF199A"/>
    <w:rsid w:val="00BF1C4E"/>
    <w:rsid w:val="00BF26E5"/>
    <w:rsid w:val="00BF2E8B"/>
    <w:rsid w:val="00BF3288"/>
    <w:rsid w:val="00BF32A6"/>
    <w:rsid w:val="00BF4121"/>
    <w:rsid w:val="00BF423D"/>
    <w:rsid w:val="00BF4400"/>
    <w:rsid w:val="00BF4C18"/>
    <w:rsid w:val="00BF5297"/>
    <w:rsid w:val="00BF531A"/>
    <w:rsid w:val="00BF5D13"/>
    <w:rsid w:val="00BF60C5"/>
    <w:rsid w:val="00BF6950"/>
    <w:rsid w:val="00BF6C49"/>
    <w:rsid w:val="00BF7CB1"/>
    <w:rsid w:val="00BF7F07"/>
    <w:rsid w:val="00C01250"/>
    <w:rsid w:val="00C01B04"/>
    <w:rsid w:val="00C02682"/>
    <w:rsid w:val="00C02FCC"/>
    <w:rsid w:val="00C03080"/>
    <w:rsid w:val="00C0318A"/>
    <w:rsid w:val="00C035AC"/>
    <w:rsid w:val="00C036BD"/>
    <w:rsid w:val="00C037D9"/>
    <w:rsid w:val="00C03E5E"/>
    <w:rsid w:val="00C04AC2"/>
    <w:rsid w:val="00C051F3"/>
    <w:rsid w:val="00C052E3"/>
    <w:rsid w:val="00C0547C"/>
    <w:rsid w:val="00C056CF"/>
    <w:rsid w:val="00C06152"/>
    <w:rsid w:val="00C06366"/>
    <w:rsid w:val="00C072EF"/>
    <w:rsid w:val="00C07339"/>
    <w:rsid w:val="00C078C1"/>
    <w:rsid w:val="00C1037A"/>
    <w:rsid w:val="00C107D1"/>
    <w:rsid w:val="00C10910"/>
    <w:rsid w:val="00C10E0D"/>
    <w:rsid w:val="00C114F3"/>
    <w:rsid w:val="00C11811"/>
    <w:rsid w:val="00C11B14"/>
    <w:rsid w:val="00C122F0"/>
    <w:rsid w:val="00C127D1"/>
    <w:rsid w:val="00C13224"/>
    <w:rsid w:val="00C13282"/>
    <w:rsid w:val="00C140FB"/>
    <w:rsid w:val="00C141A2"/>
    <w:rsid w:val="00C14F0D"/>
    <w:rsid w:val="00C15012"/>
    <w:rsid w:val="00C1780A"/>
    <w:rsid w:val="00C17AB7"/>
    <w:rsid w:val="00C17FF6"/>
    <w:rsid w:val="00C20203"/>
    <w:rsid w:val="00C2035C"/>
    <w:rsid w:val="00C20976"/>
    <w:rsid w:val="00C22DE6"/>
    <w:rsid w:val="00C24D1A"/>
    <w:rsid w:val="00C250C4"/>
    <w:rsid w:val="00C254D4"/>
    <w:rsid w:val="00C25B0C"/>
    <w:rsid w:val="00C26BCA"/>
    <w:rsid w:val="00C26F8F"/>
    <w:rsid w:val="00C27349"/>
    <w:rsid w:val="00C27353"/>
    <w:rsid w:val="00C27370"/>
    <w:rsid w:val="00C276DE"/>
    <w:rsid w:val="00C27CFB"/>
    <w:rsid w:val="00C31311"/>
    <w:rsid w:val="00C3142C"/>
    <w:rsid w:val="00C31510"/>
    <w:rsid w:val="00C31B76"/>
    <w:rsid w:val="00C31B9F"/>
    <w:rsid w:val="00C32963"/>
    <w:rsid w:val="00C330ED"/>
    <w:rsid w:val="00C332A5"/>
    <w:rsid w:val="00C3341C"/>
    <w:rsid w:val="00C33BAB"/>
    <w:rsid w:val="00C34593"/>
    <w:rsid w:val="00C34B51"/>
    <w:rsid w:val="00C35234"/>
    <w:rsid w:val="00C353B7"/>
    <w:rsid w:val="00C35D18"/>
    <w:rsid w:val="00C3697C"/>
    <w:rsid w:val="00C370DF"/>
    <w:rsid w:val="00C4006B"/>
    <w:rsid w:val="00C40392"/>
    <w:rsid w:val="00C404E8"/>
    <w:rsid w:val="00C40BE6"/>
    <w:rsid w:val="00C41B26"/>
    <w:rsid w:val="00C43903"/>
    <w:rsid w:val="00C4395B"/>
    <w:rsid w:val="00C43C0D"/>
    <w:rsid w:val="00C44374"/>
    <w:rsid w:val="00C44376"/>
    <w:rsid w:val="00C445CB"/>
    <w:rsid w:val="00C44D1B"/>
    <w:rsid w:val="00C45590"/>
    <w:rsid w:val="00C45EFD"/>
    <w:rsid w:val="00C46BF3"/>
    <w:rsid w:val="00C470B4"/>
    <w:rsid w:val="00C473E0"/>
    <w:rsid w:val="00C50304"/>
    <w:rsid w:val="00C50AD5"/>
    <w:rsid w:val="00C52268"/>
    <w:rsid w:val="00C52C36"/>
    <w:rsid w:val="00C52F3B"/>
    <w:rsid w:val="00C53911"/>
    <w:rsid w:val="00C549A2"/>
    <w:rsid w:val="00C54FAD"/>
    <w:rsid w:val="00C56532"/>
    <w:rsid w:val="00C575DB"/>
    <w:rsid w:val="00C57846"/>
    <w:rsid w:val="00C60864"/>
    <w:rsid w:val="00C60B23"/>
    <w:rsid w:val="00C61695"/>
    <w:rsid w:val="00C6197D"/>
    <w:rsid w:val="00C61D37"/>
    <w:rsid w:val="00C623AE"/>
    <w:rsid w:val="00C64913"/>
    <w:rsid w:val="00C64AD4"/>
    <w:rsid w:val="00C662AA"/>
    <w:rsid w:val="00C66737"/>
    <w:rsid w:val="00C675B9"/>
    <w:rsid w:val="00C675CD"/>
    <w:rsid w:val="00C6769D"/>
    <w:rsid w:val="00C67B20"/>
    <w:rsid w:val="00C70269"/>
    <w:rsid w:val="00C707EB"/>
    <w:rsid w:val="00C70823"/>
    <w:rsid w:val="00C70B3D"/>
    <w:rsid w:val="00C70BEB"/>
    <w:rsid w:val="00C70ED1"/>
    <w:rsid w:val="00C714CA"/>
    <w:rsid w:val="00C71582"/>
    <w:rsid w:val="00C715D0"/>
    <w:rsid w:val="00C72928"/>
    <w:rsid w:val="00C738DD"/>
    <w:rsid w:val="00C7483D"/>
    <w:rsid w:val="00C74FF2"/>
    <w:rsid w:val="00C75549"/>
    <w:rsid w:val="00C75672"/>
    <w:rsid w:val="00C7685A"/>
    <w:rsid w:val="00C76958"/>
    <w:rsid w:val="00C76DD4"/>
    <w:rsid w:val="00C7722E"/>
    <w:rsid w:val="00C77393"/>
    <w:rsid w:val="00C77586"/>
    <w:rsid w:val="00C77D0D"/>
    <w:rsid w:val="00C80E63"/>
    <w:rsid w:val="00C811FA"/>
    <w:rsid w:val="00C81CC3"/>
    <w:rsid w:val="00C81D75"/>
    <w:rsid w:val="00C83151"/>
    <w:rsid w:val="00C8345C"/>
    <w:rsid w:val="00C83B81"/>
    <w:rsid w:val="00C83D6E"/>
    <w:rsid w:val="00C83DEA"/>
    <w:rsid w:val="00C8454F"/>
    <w:rsid w:val="00C849A2"/>
    <w:rsid w:val="00C8581A"/>
    <w:rsid w:val="00C86497"/>
    <w:rsid w:val="00C86C2C"/>
    <w:rsid w:val="00C87108"/>
    <w:rsid w:val="00C872CE"/>
    <w:rsid w:val="00C872F1"/>
    <w:rsid w:val="00C87395"/>
    <w:rsid w:val="00C8739A"/>
    <w:rsid w:val="00C901CD"/>
    <w:rsid w:val="00C9049E"/>
    <w:rsid w:val="00C90BAA"/>
    <w:rsid w:val="00C914D3"/>
    <w:rsid w:val="00C91D5B"/>
    <w:rsid w:val="00C920BD"/>
    <w:rsid w:val="00C92BDB"/>
    <w:rsid w:val="00C937C3"/>
    <w:rsid w:val="00C941F8"/>
    <w:rsid w:val="00C94405"/>
    <w:rsid w:val="00C949C9"/>
    <w:rsid w:val="00C94E4E"/>
    <w:rsid w:val="00C94FA8"/>
    <w:rsid w:val="00C95180"/>
    <w:rsid w:val="00C95AC8"/>
    <w:rsid w:val="00C960B1"/>
    <w:rsid w:val="00C96649"/>
    <w:rsid w:val="00C978D3"/>
    <w:rsid w:val="00CA0354"/>
    <w:rsid w:val="00CA0370"/>
    <w:rsid w:val="00CA07E4"/>
    <w:rsid w:val="00CA0E43"/>
    <w:rsid w:val="00CA12E4"/>
    <w:rsid w:val="00CA1B0D"/>
    <w:rsid w:val="00CA28C9"/>
    <w:rsid w:val="00CA2AB6"/>
    <w:rsid w:val="00CA2ADB"/>
    <w:rsid w:val="00CA359A"/>
    <w:rsid w:val="00CA3C29"/>
    <w:rsid w:val="00CA491B"/>
    <w:rsid w:val="00CA5297"/>
    <w:rsid w:val="00CA6208"/>
    <w:rsid w:val="00CA6644"/>
    <w:rsid w:val="00CA673A"/>
    <w:rsid w:val="00CA67DF"/>
    <w:rsid w:val="00CA6EAC"/>
    <w:rsid w:val="00CA6ED4"/>
    <w:rsid w:val="00CA6EDC"/>
    <w:rsid w:val="00CA7364"/>
    <w:rsid w:val="00CB0E31"/>
    <w:rsid w:val="00CB1C94"/>
    <w:rsid w:val="00CB2969"/>
    <w:rsid w:val="00CB3608"/>
    <w:rsid w:val="00CB3DC0"/>
    <w:rsid w:val="00CB4697"/>
    <w:rsid w:val="00CB4965"/>
    <w:rsid w:val="00CB58C4"/>
    <w:rsid w:val="00CC1991"/>
    <w:rsid w:val="00CC320D"/>
    <w:rsid w:val="00CC3237"/>
    <w:rsid w:val="00CC3615"/>
    <w:rsid w:val="00CC4192"/>
    <w:rsid w:val="00CC4977"/>
    <w:rsid w:val="00CC4B8E"/>
    <w:rsid w:val="00CC52F5"/>
    <w:rsid w:val="00CC54EF"/>
    <w:rsid w:val="00CC57CA"/>
    <w:rsid w:val="00CC5D6B"/>
    <w:rsid w:val="00CC5F34"/>
    <w:rsid w:val="00CC7B4D"/>
    <w:rsid w:val="00CD0E97"/>
    <w:rsid w:val="00CD1F89"/>
    <w:rsid w:val="00CD3652"/>
    <w:rsid w:val="00CD3DC6"/>
    <w:rsid w:val="00CD4195"/>
    <w:rsid w:val="00CD4B82"/>
    <w:rsid w:val="00CD5314"/>
    <w:rsid w:val="00CD6955"/>
    <w:rsid w:val="00CD6C06"/>
    <w:rsid w:val="00CD6E8E"/>
    <w:rsid w:val="00CD73E8"/>
    <w:rsid w:val="00CD75CB"/>
    <w:rsid w:val="00CD7EE5"/>
    <w:rsid w:val="00CE11A1"/>
    <w:rsid w:val="00CE1D1D"/>
    <w:rsid w:val="00CE252F"/>
    <w:rsid w:val="00CE2613"/>
    <w:rsid w:val="00CE2DCA"/>
    <w:rsid w:val="00CE3018"/>
    <w:rsid w:val="00CE3AA2"/>
    <w:rsid w:val="00CE3C56"/>
    <w:rsid w:val="00CE3D1F"/>
    <w:rsid w:val="00CE405D"/>
    <w:rsid w:val="00CE4B49"/>
    <w:rsid w:val="00CE5077"/>
    <w:rsid w:val="00CE5479"/>
    <w:rsid w:val="00CE5760"/>
    <w:rsid w:val="00CE61AC"/>
    <w:rsid w:val="00CE6794"/>
    <w:rsid w:val="00CE6BF5"/>
    <w:rsid w:val="00CE7565"/>
    <w:rsid w:val="00CF0096"/>
    <w:rsid w:val="00CF01E1"/>
    <w:rsid w:val="00CF0BC8"/>
    <w:rsid w:val="00CF0C93"/>
    <w:rsid w:val="00CF1459"/>
    <w:rsid w:val="00CF2AD8"/>
    <w:rsid w:val="00CF3506"/>
    <w:rsid w:val="00CF4848"/>
    <w:rsid w:val="00CF54D4"/>
    <w:rsid w:val="00CF5812"/>
    <w:rsid w:val="00CF5EB3"/>
    <w:rsid w:val="00CF6216"/>
    <w:rsid w:val="00CF647B"/>
    <w:rsid w:val="00CF72F8"/>
    <w:rsid w:val="00CF78D1"/>
    <w:rsid w:val="00CF7CE9"/>
    <w:rsid w:val="00D00AF6"/>
    <w:rsid w:val="00D00FCE"/>
    <w:rsid w:val="00D012EF"/>
    <w:rsid w:val="00D014CE"/>
    <w:rsid w:val="00D01714"/>
    <w:rsid w:val="00D02ED4"/>
    <w:rsid w:val="00D03215"/>
    <w:rsid w:val="00D037BD"/>
    <w:rsid w:val="00D03A30"/>
    <w:rsid w:val="00D04725"/>
    <w:rsid w:val="00D04B08"/>
    <w:rsid w:val="00D0506B"/>
    <w:rsid w:val="00D059C8"/>
    <w:rsid w:val="00D05F1B"/>
    <w:rsid w:val="00D069B6"/>
    <w:rsid w:val="00D06D9C"/>
    <w:rsid w:val="00D07B7D"/>
    <w:rsid w:val="00D07C0E"/>
    <w:rsid w:val="00D07D86"/>
    <w:rsid w:val="00D07E90"/>
    <w:rsid w:val="00D1021E"/>
    <w:rsid w:val="00D1150A"/>
    <w:rsid w:val="00D11DE5"/>
    <w:rsid w:val="00D135AC"/>
    <w:rsid w:val="00D13618"/>
    <w:rsid w:val="00D137B6"/>
    <w:rsid w:val="00D139E0"/>
    <w:rsid w:val="00D13FA7"/>
    <w:rsid w:val="00D141B0"/>
    <w:rsid w:val="00D143D0"/>
    <w:rsid w:val="00D1456E"/>
    <w:rsid w:val="00D14C9E"/>
    <w:rsid w:val="00D156E8"/>
    <w:rsid w:val="00D15A2E"/>
    <w:rsid w:val="00D160CA"/>
    <w:rsid w:val="00D16657"/>
    <w:rsid w:val="00D173F9"/>
    <w:rsid w:val="00D17807"/>
    <w:rsid w:val="00D20344"/>
    <w:rsid w:val="00D208FB"/>
    <w:rsid w:val="00D20B31"/>
    <w:rsid w:val="00D21376"/>
    <w:rsid w:val="00D216EA"/>
    <w:rsid w:val="00D21CED"/>
    <w:rsid w:val="00D21E5B"/>
    <w:rsid w:val="00D222E4"/>
    <w:rsid w:val="00D2282E"/>
    <w:rsid w:val="00D232A7"/>
    <w:rsid w:val="00D23449"/>
    <w:rsid w:val="00D23673"/>
    <w:rsid w:val="00D23F7C"/>
    <w:rsid w:val="00D24105"/>
    <w:rsid w:val="00D25B1E"/>
    <w:rsid w:val="00D25C77"/>
    <w:rsid w:val="00D25E4D"/>
    <w:rsid w:val="00D262A3"/>
    <w:rsid w:val="00D263C5"/>
    <w:rsid w:val="00D26442"/>
    <w:rsid w:val="00D26A59"/>
    <w:rsid w:val="00D276C8"/>
    <w:rsid w:val="00D27D37"/>
    <w:rsid w:val="00D30843"/>
    <w:rsid w:val="00D32357"/>
    <w:rsid w:val="00D329FC"/>
    <w:rsid w:val="00D333B6"/>
    <w:rsid w:val="00D33A5A"/>
    <w:rsid w:val="00D33D2E"/>
    <w:rsid w:val="00D342AD"/>
    <w:rsid w:val="00D34D98"/>
    <w:rsid w:val="00D36D49"/>
    <w:rsid w:val="00D376A4"/>
    <w:rsid w:val="00D410CB"/>
    <w:rsid w:val="00D4141E"/>
    <w:rsid w:val="00D41B97"/>
    <w:rsid w:val="00D4220F"/>
    <w:rsid w:val="00D42B03"/>
    <w:rsid w:val="00D441D4"/>
    <w:rsid w:val="00D450DF"/>
    <w:rsid w:val="00D45140"/>
    <w:rsid w:val="00D457B1"/>
    <w:rsid w:val="00D45C85"/>
    <w:rsid w:val="00D45F96"/>
    <w:rsid w:val="00D46CFA"/>
    <w:rsid w:val="00D502FA"/>
    <w:rsid w:val="00D5033C"/>
    <w:rsid w:val="00D5048D"/>
    <w:rsid w:val="00D505D4"/>
    <w:rsid w:val="00D513E6"/>
    <w:rsid w:val="00D51F89"/>
    <w:rsid w:val="00D5266D"/>
    <w:rsid w:val="00D5285C"/>
    <w:rsid w:val="00D52D05"/>
    <w:rsid w:val="00D52F1C"/>
    <w:rsid w:val="00D53713"/>
    <w:rsid w:val="00D54A77"/>
    <w:rsid w:val="00D5541F"/>
    <w:rsid w:val="00D5726E"/>
    <w:rsid w:val="00D573C2"/>
    <w:rsid w:val="00D60240"/>
    <w:rsid w:val="00D6184B"/>
    <w:rsid w:val="00D628A1"/>
    <w:rsid w:val="00D63198"/>
    <w:rsid w:val="00D634AC"/>
    <w:rsid w:val="00D64CD3"/>
    <w:rsid w:val="00D64CF8"/>
    <w:rsid w:val="00D66E61"/>
    <w:rsid w:val="00D70C06"/>
    <w:rsid w:val="00D711A8"/>
    <w:rsid w:val="00D71781"/>
    <w:rsid w:val="00D71AFE"/>
    <w:rsid w:val="00D71F96"/>
    <w:rsid w:val="00D72E4E"/>
    <w:rsid w:val="00D73A8D"/>
    <w:rsid w:val="00D73B8C"/>
    <w:rsid w:val="00D740BE"/>
    <w:rsid w:val="00D74224"/>
    <w:rsid w:val="00D748FB"/>
    <w:rsid w:val="00D75740"/>
    <w:rsid w:val="00D758B3"/>
    <w:rsid w:val="00D75CE3"/>
    <w:rsid w:val="00D75E6B"/>
    <w:rsid w:val="00D76804"/>
    <w:rsid w:val="00D77365"/>
    <w:rsid w:val="00D7764B"/>
    <w:rsid w:val="00D77694"/>
    <w:rsid w:val="00D77F5A"/>
    <w:rsid w:val="00D80866"/>
    <w:rsid w:val="00D809E7"/>
    <w:rsid w:val="00D80BEC"/>
    <w:rsid w:val="00D81B6A"/>
    <w:rsid w:val="00D81CF0"/>
    <w:rsid w:val="00D826DB"/>
    <w:rsid w:val="00D8279B"/>
    <w:rsid w:val="00D83A28"/>
    <w:rsid w:val="00D8420E"/>
    <w:rsid w:val="00D84408"/>
    <w:rsid w:val="00D85038"/>
    <w:rsid w:val="00D86D27"/>
    <w:rsid w:val="00D86FDD"/>
    <w:rsid w:val="00D870BE"/>
    <w:rsid w:val="00D877B7"/>
    <w:rsid w:val="00D87972"/>
    <w:rsid w:val="00D8799D"/>
    <w:rsid w:val="00D9084E"/>
    <w:rsid w:val="00D90F3A"/>
    <w:rsid w:val="00D912F9"/>
    <w:rsid w:val="00D9137B"/>
    <w:rsid w:val="00D913A2"/>
    <w:rsid w:val="00D9184F"/>
    <w:rsid w:val="00D91D34"/>
    <w:rsid w:val="00D922E2"/>
    <w:rsid w:val="00D924E0"/>
    <w:rsid w:val="00D92C76"/>
    <w:rsid w:val="00D92D17"/>
    <w:rsid w:val="00D930CF"/>
    <w:rsid w:val="00D934F9"/>
    <w:rsid w:val="00D93CF3"/>
    <w:rsid w:val="00D9477C"/>
    <w:rsid w:val="00D95437"/>
    <w:rsid w:val="00D95B80"/>
    <w:rsid w:val="00D95D44"/>
    <w:rsid w:val="00D96621"/>
    <w:rsid w:val="00D97A1D"/>
    <w:rsid w:val="00D97AFC"/>
    <w:rsid w:val="00DA096A"/>
    <w:rsid w:val="00DA0C37"/>
    <w:rsid w:val="00DA1617"/>
    <w:rsid w:val="00DA2B1A"/>
    <w:rsid w:val="00DA2B4C"/>
    <w:rsid w:val="00DA462C"/>
    <w:rsid w:val="00DA4640"/>
    <w:rsid w:val="00DA49E5"/>
    <w:rsid w:val="00DA5373"/>
    <w:rsid w:val="00DA5B74"/>
    <w:rsid w:val="00DA6125"/>
    <w:rsid w:val="00DA6281"/>
    <w:rsid w:val="00DA6CA1"/>
    <w:rsid w:val="00DA6E3B"/>
    <w:rsid w:val="00DA6EBD"/>
    <w:rsid w:val="00DB1228"/>
    <w:rsid w:val="00DB2226"/>
    <w:rsid w:val="00DB22D3"/>
    <w:rsid w:val="00DB2D93"/>
    <w:rsid w:val="00DB3992"/>
    <w:rsid w:val="00DB4786"/>
    <w:rsid w:val="00DB4EC9"/>
    <w:rsid w:val="00DB5010"/>
    <w:rsid w:val="00DB5138"/>
    <w:rsid w:val="00DB52E9"/>
    <w:rsid w:val="00DB63D6"/>
    <w:rsid w:val="00DB63ED"/>
    <w:rsid w:val="00DB67D6"/>
    <w:rsid w:val="00DB6C18"/>
    <w:rsid w:val="00DC0090"/>
    <w:rsid w:val="00DC0ADD"/>
    <w:rsid w:val="00DC0CE8"/>
    <w:rsid w:val="00DC173E"/>
    <w:rsid w:val="00DC2085"/>
    <w:rsid w:val="00DC3B39"/>
    <w:rsid w:val="00DC3C5C"/>
    <w:rsid w:val="00DC41BE"/>
    <w:rsid w:val="00DC4540"/>
    <w:rsid w:val="00DC51AF"/>
    <w:rsid w:val="00DC57E0"/>
    <w:rsid w:val="00DC5DDA"/>
    <w:rsid w:val="00DC61D7"/>
    <w:rsid w:val="00DC6F25"/>
    <w:rsid w:val="00DC71CF"/>
    <w:rsid w:val="00DC7BDB"/>
    <w:rsid w:val="00DC7CC1"/>
    <w:rsid w:val="00DC7DB9"/>
    <w:rsid w:val="00DD07E1"/>
    <w:rsid w:val="00DD0E0C"/>
    <w:rsid w:val="00DD0E7F"/>
    <w:rsid w:val="00DD19DE"/>
    <w:rsid w:val="00DD1A3A"/>
    <w:rsid w:val="00DD1ACB"/>
    <w:rsid w:val="00DD1F85"/>
    <w:rsid w:val="00DD380A"/>
    <w:rsid w:val="00DD38FA"/>
    <w:rsid w:val="00DD46C0"/>
    <w:rsid w:val="00DD482F"/>
    <w:rsid w:val="00DD4C9C"/>
    <w:rsid w:val="00DD50C3"/>
    <w:rsid w:val="00DD6673"/>
    <w:rsid w:val="00DD6F88"/>
    <w:rsid w:val="00DD715B"/>
    <w:rsid w:val="00DD75B6"/>
    <w:rsid w:val="00DD7623"/>
    <w:rsid w:val="00DE07AC"/>
    <w:rsid w:val="00DE1444"/>
    <w:rsid w:val="00DE1AD0"/>
    <w:rsid w:val="00DE1B71"/>
    <w:rsid w:val="00DE282B"/>
    <w:rsid w:val="00DE2AAE"/>
    <w:rsid w:val="00DE2E11"/>
    <w:rsid w:val="00DE3216"/>
    <w:rsid w:val="00DE35FE"/>
    <w:rsid w:val="00DE3C82"/>
    <w:rsid w:val="00DE4CAD"/>
    <w:rsid w:val="00DE4DC4"/>
    <w:rsid w:val="00DE5280"/>
    <w:rsid w:val="00DE6273"/>
    <w:rsid w:val="00DE63B1"/>
    <w:rsid w:val="00DE670E"/>
    <w:rsid w:val="00DE6BC1"/>
    <w:rsid w:val="00DE7821"/>
    <w:rsid w:val="00DE7F4A"/>
    <w:rsid w:val="00DF038A"/>
    <w:rsid w:val="00DF10F5"/>
    <w:rsid w:val="00DF1A93"/>
    <w:rsid w:val="00DF1BEB"/>
    <w:rsid w:val="00DF1DD8"/>
    <w:rsid w:val="00DF27A8"/>
    <w:rsid w:val="00DF29AC"/>
    <w:rsid w:val="00DF2F59"/>
    <w:rsid w:val="00DF30B5"/>
    <w:rsid w:val="00DF4B88"/>
    <w:rsid w:val="00DF5159"/>
    <w:rsid w:val="00DF603C"/>
    <w:rsid w:val="00DF6E0F"/>
    <w:rsid w:val="00DF72B3"/>
    <w:rsid w:val="00DF7721"/>
    <w:rsid w:val="00E01633"/>
    <w:rsid w:val="00E03E1D"/>
    <w:rsid w:val="00E04720"/>
    <w:rsid w:val="00E05E90"/>
    <w:rsid w:val="00E0665A"/>
    <w:rsid w:val="00E06E94"/>
    <w:rsid w:val="00E07462"/>
    <w:rsid w:val="00E07491"/>
    <w:rsid w:val="00E0782A"/>
    <w:rsid w:val="00E109FA"/>
    <w:rsid w:val="00E10F6C"/>
    <w:rsid w:val="00E11320"/>
    <w:rsid w:val="00E117C4"/>
    <w:rsid w:val="00E125CF"/>
    <w:rsid w:val="00E13B29"/>
    <w:rsid w:val="00E1542D"/>
    <w:rsid w:val="00E15ECD"/>
    <w:rsid w:val="00E1624B"/>
    <w:rsid w:val="00E16621"/>
    <w:rsid w:val="00E201F3"/>
    <w:rsid w:val="00E20CCE"/>
    <w:rsid w:val="00E215C7"/>
    <w:rsid w:val="00E21F90"/>
    <w:rsid w:val="00E2235B"/>
    <w:rsid w:val="00E229ED"/>
    <w:rsid w:val="00E22FA3"/>
    <w:rsid w:val="00E2312A"/>
    <w:rsid w:val="00E235D9"/>
    <w:rsid w:val="00E2374F"/>
    <w:rsid w:val="00E24F86"/>
    <w:rsid w:val="00E2566D"/>
    <w:rsid w:val="00E25890"/>
    <w:rsid w:val="00E25997"/>
    <w:rsid w:val="00E25B26"/>
    <w:rsid w:val="00E26092"/>
    <w:rsid w:val="00E265BE"/>
    <w:rsid w:val="00E26A99"/>
    <w:rsid w:val="00E2797E"/>
    <w:rsid w:val="00E27FAA"/>
    <w:rsid w:val="00E30586"/>
    <w:rsid w:val="00E30895"/>
    <w:rsid w:val="00E313EF"/>
    <w:rsid w:val="00E317E8"/>
    <w:rsid w:val="00E31A03"/>
    <w:rsid w:val="00E32C8C"/>
    <w:rsid w:val="00E33236"/>
    <w:rsid w:val="00E34393"/>
    <w:rsid w:val="00E34C63"/>
    <w:rsid w:val="00E34FB2"/>
    <w:rsid w:val="00E359DC"/>
    <w:rsid w:val="00E3630D"/>
    <w:rsid w:val="00E36B24"/>
    <w:rsid w:val="00E37775"/>
    <w:rsid w:val="00E40400"/>
    <w:rsid w:val="00E409C5"/>
    <w:rsid w:val="00E427A3"/>
    <w:rsid w:val="00E429FC"/>
    <w:rsid w:val="00E43090"/>
    <w:rsid w:val="00E430D1"/>
    <w:rsid w:val="00E4410C"/>
    <w:rsid w:val="00E44993"/>
    <w:rsid w:val="00E452A5"/>
    <w:rsid w:val="00E45778"/>
    <w:rsid w:val="00E4681C"/>
    <w:rsid w:val="00E46BFA"/>
    <w:rsid w:val="00E478C4"/>
    <w:rsid w:val="00E47DA8"/>
    <w:rsid w:val="00E47EC1"/>
    <w:rsid w:val="00E47FB0"/>
    <w:rsid w:val="00E50BE2"/>
    <w:rsid w:val="00E50DCE"/>
    <w:rsid w:val="00E5100C"/>
    <w:rsid w:val="00E51F14"/>
    <w:rsid w:val="00E51FC5"/>
    <w:rsid w:val="00E52893"/>
    <w:rsid w:val="00E52FEE"/>
    <w:rsid w:val="00E53119"/>
    <w:rsid w:val="00E53568"/>
    <w:rsid w:val="00E53A42"/>
    <w:rsid w:val="00E53D87"/>
    <w:rsid w:val="00E54156"/>
    <w:rsid w:val="00E5472A"/>
    <w:rsid w:val="00E5492A"/>
    <w:rsid w:val="00E54E55"/>
    <w:rsid w:val="00E55085"/>
    <w:rsid w:val="00E55213"/>
    <w:rsid w:val="00E55287"/>
    <w:rsid w:val="00E566B0"/>
    <w:rsid w:val="00E566E6"/>
    <w:rsid w:val="00E57A6F"/>
    <w:rsid w:val="00E60AC2"/>
    <w:rsid w:val="00E6138E"/>
    <w:rsid w:val="00E6139C"/>
    <w:rsid w:val="00E63275"/>
    <w:rsid w:val="00E63E0A"/>
    <w:rsid w:val="00E65238"/>
    <w:rsid w:val="00E65EA5"/>
    <w:rsid w:val="00E66519"/>
    <w:rsid w:val="00E66569"/>
    <w:rsid w:val="00E66A48"/>
    <w:rsid w:val="00E66E37"/>
    <w:rsid w:val="00E67A7F"/>
    <w:rsid w:val="00E67ABD"/>
    <w:rsid w:val="00E67CF2"/>
    <w:rsid w:val="00E67FDB"/>
    <w:rsid w:val="00E70C6B"/>
    <w:rsid w:val="00E70F68"/>
    <w:rsid w:val="00E72EFB"/>
    <w:rsid w:val="00E731D7"/>
    <w:rsid w:val="00E73C63"/>
    <w:rsid w:val="00E743C2"/>
    <w:rsid w:val="00E7487A"/>
    <w:rsid w:val="00E749A1"/>
    <w:rsid w:val="00E74A4A"/>
    <w:rsid w:val="00E74FDB"/>
    <w:rsid w:val="00E752B5"/>
    <w:rsid w:val="00E75C95"/>
    <w:rsid w:val="00E75DE0"/>
    <w:rsid w:val="00E765C9"/>
    <w:rsid w:val="00E76636"/>
    <w:rsid w:val="00E76D52"/>
    <w:rsid w:val="00E76E86"/>
    <w:rsid w:val="00E770D1"/>
    <w:rsid w:val="00E7797E"/>
    <w:rsid w:val="00E8060A"/>
    <w:rsid w:val="00E80659"/>
    <w:rsid w:val="00E820D4"/>
    <w:rsid w:val="00E82E52"/>
    <w:rsid w:val="00E832D8"/>
    <w:rsid w:val="00E8340A"/>
    <w:rsid w:val="00E84B8E"/>
    <w:rsid w:val="00E851B1"/>
    <w:rsid w:val="00E87248"/>
    <w:rsid w:val="00E8725B"/>
    <w:rsid w:val="00E87775"/>
    <w:rsid w:val="00E87D3B"/>
    <w:rsid w:val="00E87E11"/>
    <w:rsid w:val="00E90029"/>
    <w:rsid w:val="00E917E6"/>
    <w:rsid w:val="00E919A7"/>
    <w:rsid w:val="00E91B9A"/>
    <w:rsid w:val="00E9218D"/>
    <w:rsid w:val="00E92BDC"/>
    <w:rsid w:val="00E92ED0"/>
    <w:rsid w:val="00E935A2"/>
    <w:rsid w:val="00E9397E"/>
    <w:rsid w:val="00E94AE4"/>
    <w:rsid w:val="00E94E44"/>
    <w:rsid w:val="00E952AA"/>
    <w:rsid w:val="00E95725"/>
    <w:rsid w:val="00E9576D"/>
    <w:rsid w:val="00E96A87"/>
    <w:rsid w:val="00E96EB0"/>
    <w:rsid w:val="00E9715C"/>
    <w:rsid w:val="00E971D4"/>
    <w:rsid w:val="00E973B2"/>
    <w:rsid w:val="00E97444"/>
    <w:rsid w:val="00E97D46"/>
    <w:rsid w:val="00EA084E"/>
    <w:rsid w:val="00EA11CC"/>
    <w:rsid w:val="00EA26A3"/>
    <w:rsid w:val="00EA2BA7"/>
    <w:rsid w:val="00EA2E39"/>
    <w:rsid w:val="00EA2EAB"/>
    <w:rsid w:val="00EA4BDD"/>
    <w:rsid w:val="00EA53CC"/>
    <w:rsid w:val="00EA55D2"/>
    <w:rsid w:val="00EA5B8C"/>
    <w:rsid w:val="00EA5D0C"/>
    <w:rsid w:val="00EA5EA9"/>
    <w:rsid w:val="00EA65FC"/>
    <w:rsid w:val="00EB009A"/>
    <w:rsid w:val="00EB06D9"/>
    <w:rsid w:val="00EB0C99"/>
    <w:rsid w:val="00EB13CB"/>
    <w:rsid w:val="00EB1C11"/>
    <w:rsid w:val="00EB1FDB"/>
    <w:rsid w:val="00EB21FD"/>
    <w:rsid w:val="00EB2753"/>
    <w:rsid w:val="00EB2F7C"/>
    <w:rsid w:val="00EB3080"/>
    <w:rsid w:val="00EB3244"/>
    <w:rsid w:val="00EB3C39"/>
    <w:rsid w:val="00EB3F0F"/>
    <w:rsid w:val="00EB5F13"/>
    <w:rsid w:val="00EB6272"/>
    <w:rsid w:val="00EB74A1"/>
    <w:rsid w:val="00EC0B2E"/>
    <w:rsid w:val="00EC1AB7"/>
    <w:rsid w:val="00EC2661"/>
    <w:rsid w:val="00EC2B85"/>
    <w:rsid w:val="00EC3ADF"/>
    <w:rsid w:val="00EC4377"/>
    <w:rsid w:val="00EC4CD3"/>
    <w:rsid w:val="00EC5587"/>
    <w:rsid w:val="00EC567E"/>
    <w:rsid w:val="00EC59FC"/>
    <w:rsid w:val="00EC5A16"/>
    <w:rsid w:val="00EC5E7A"/>
    <w:rsid w:val="00EC6855"/>
    <w:rsid w:val="00EC738A"/>
    <w:rsid w:val="00ED0687"/>
    <w:rsid w:val="00ED0E5E"/>
    <w:rsid w:val="00ED207A"/>
    <w:rsid w:val="00ED22DE"/>
    <w:rsid w:val="00ED2D9D"/>
    <w:rsid w:val="00ED2EE5"/>
    <w:rsid w:val="00ED3841"/>
    <w:rsid w:val="00ED38E0"/>
    <w:rsid w:val="00ED4E0C"/>
    <w:rsid w:val="00ED51EB"/>
    <w:rsid w:val="00ED6961"/>
    <w:rsid w:val="00ED6975"/>
    <w:rsid w:val="00ED6A92"/>
    <w:rsid w:val="00ED70CC"/>
    <w:rsid w:val="00ED79E8"/>
    <w:rsid w:val="00EE07A8"/>
    <w:rsid w:val="00EE0AB8"/>
    <w:rsid w:val="00EE0F60"/>
    <w:rsid w:val="00EE167C"/>
    <w:rsid w:val="00EE19EC"/>
    <w:rsid w:val="00EE2B87"/>
    <w:rsid w:val="00EE7724"/>
    <w:rsid w:val="00EF0727"/>
    <w:rsid w:val="00EF1463"/>
    <w:rsid w:val="00EF1F3C"/>
    <w:rsid w:val="00EF1F61"/>
    <w:rsid w:val="00EF213F"/>
    <w:rsid w:val="00EF38EB"/>
    <w:rsid w:val="00EF3B14"/>
    <w:rsid w:val="00EF4884"/>
    <w:rsid w:val="00EF50B2"/>
    <w:rsid w:val="00EF5431"/>
    <w:rsid w:val="00EF5614"/>
    <w:rsid w:val="00EF56BD"/>
    <w:rsid w:val="00EF597E"/>
    <w:rsid w:val="00EF60E8"/>
    <w:rsid w:val="00EF7B7B"/>
    <w:rsid w:val="00F00827"/>
    <w:rsid w:val="00F0124C"/>
    <w:rsid w:val="00F02B93"/>
    <w:rsid w:val="00F02E58"/>
    <w:rsid w:val="00F03543"/>
    <w:rsid w:val="00F04786"/>
    <w:rsid w:val="00F05338"/>
    <w:rsid w:val="00F05B82"/>
    <w:rsid w:val="00F05DE2"/>
    <w:rsid w:val="00F06C1C"/>
    <w:rsid w:val="00F06CBA"/>
    <w:rsid w:val="00F06CC2"/>
    <w:rsid w:val="00F06E5F"/>
    <w:rsid w:val="00F102EC"/>
    <w:rsid w:val="00F106F0"/>
    <w:rsid w:val="00F108F8"/>
    <w:rsid w:val="00F12709"/>
    <w:rsid w:val="00F141BA"/>
    <w:rsid w:val="00F154B0"/>
    <w:rsid w:val="00F16254"/>
    <w:rsid w:val="00F16594"/>
    <w:rsid w:val="00F166EC"/>
    <w:rsid w:val="00F16A52"/>
    <w:rsid w:val="00F16C3C"/>
    <w:rsid w:val="00F16E0E"/>
    <w:rsid w:val="00F1775F"/>
    <w:rsid w:val="00F17AD0"/>
    <w:rsid w:val="00F2085D"/>
    <w:rsid w:val="00F2162C"/>
    <w:rsid w:val="00F23460"/>
    <w:rsid w:val="00F235AE"/>
    <w:rsid w:val="00F237CE"/>
    <w:rsid w:val="00F23B25"/>
    <w:rsid w:val="00F23F97"/>
    <w:rsid w:val="00F23FC8"/>
    <w:rsid w:val="00F26385"/>
    <w:rsid w:val="00F274F3"/>
    <w:rsid w:val="00F2786C"/>
    <w:rsid w:val="00F278B5"/>
    <w:rsid w:val="00F27A39"/>
    <w:rsid w:val="00F27B72"/>
    <w:rsid w:val="00F27C0D"/>
    <w:rsid w:val="00F27D0F"/>
    <w:rsid w:val="00F27DAF"/>
    <w:rsid w:val="00F27DC3"/>
    <w:rsid w:val="00F30737"/>
    <w:rsid w:val="00F307A2"/>
    <w:rsid w:val="00F31D1D"/>
    <w:rsid w:val="00F31EF8"/>
    <w:rsid w:val="00F32090"/>
    <w:rsid w:val="00F32156"/>
    <w:rsid w:val="00F32492"/>
    <w:rsid w:val="00F3286C"/>
    <w:rsid w:val="00F32A98"/>
    <w:rsid w:val="00F32C5A"/>
    <w:rsid w:val="00F32E02"/>
    <w:rsid w:val="00F32FF1"/>
    <w:rsid w:val="00F33DEC"/>
    <w:rsid w:val="00F3472B"/>
    <w:rsid w:val="00F3521D"/>
    <w:rsid w:val="00F360A2"/>
    <w:rsid w:val="00F36EAA"/>
    <w:rsid w:val="00F379FE"/>
    <w:rsid w:val="00F37A18"/>
    <w:rsid w:val="00F37A8E"/>
    <w:rsid w:val="00F40EE0"/>
    <w:rsid w:val="00F41D36"/>
    <w:rsid w:val="00F4261C"/>
    <w:rsid w:val="00F426D2"/>
    <w:rsid w:val="00F42D2D"/>
    <w:rsid w:val="00F43774"/>
    <w:rsid w:val="00F43B35"/>
    <w:rsid w:val="00F445CE"/>
    <w:rsid w:val="00F44814"/>
    <w:rsid w:val="00F4511B"/>
    <w:rsid w:val="00F451B3"/>
    <w:rsid w:val="00F457E8"/>
    <w:rsid w:val="00F47FC4"/>
    <w:rsid w:val="00F507DD"/>
    <w:rsid w:val="00F50B15"/>
    <w:rsid w:val="00F50F88"/>
    <w:rsid w:val="00F52055"/>
    <w:rsid w:val="00F5246E"/>
    <w:rsid w:val="00F52E04"/>
    <w:rsid w:val="00F534CE"/>
    <w:rsid w:val="00F5380A"/>
    <w:rsid w:val="00F546E8"/>
    <w:rsid w:val="00F54E25"/>
    <w:rsid w:val="00F57818"/>
    <w:rsid w:val="00F60291"/>
    <w:rsid w:val="00F60305"/>
    <w:rsid w:val="00F62CAB"/>
    <w:rsid w:val="00F63242"/>
    <w:rsid w:val="00F65024"/>
    <w:rsid w:val="00F652D0"/>
    <w:rsid w:val="00F65320"/>
    <w:rsid w:val="00F65A40"/>
    <w:rsid w:val="00F66422"/>
    <w:rsid w:val="00F666CA"/>
    <w:rsid w:val="00F677E9"/>
    <w:rsid w:val="00F67838"/>
    <w:rsid w:val="00F71ADC"/>
    <w:rsid w:val="00F72A73"/>
    <w:rsid w:val="00F733B7"/>
    <w:rsid w:val="00F7450C"/>
    <w:rsid w:val="00F76462"/>
    <w:rsid w:val="00F76665"/>
    <w:rsid w:val="00F76B67"/>
    <w:rsid w:val="00F77B79"/>
    <w:rsid w:val="00F80F40"/>
    <w:rsid w:val="00F8130D"/>
    <w:rsid w:val="00F81B00"/>
    <w:rsid w:val="00F8254E"/>
    <w:rsid w:val="00F82D24"/>
    <w:rsid w:val="00F837E8"/>
    <w:rsid w:val="00F84501"/>
    <w:rsid w:val="00F84D19"/>
    <w:rsid w:val="00F84F56"/>
    <w:rsid w:val="00F8511B"/>
    <w:rsid w:val="00F85455"/>
    <w:rsid w:val="00F85A71"/>
    <w:rsid w:val="00F86BD5"/>
    <w:rsid w:val="00F90214"/>
    <w:rsid w:val="00F912EC"/>
    <w:rsid w:val="00F91446"/>
    <w:rsid w:val="00F92714"/>
    <w:rsid w:val="00F92AFC"/>
    <w:rsid w:val="00F92B0C"/>
    <w:rsid w:val="00F92BD4"/>
    <w:rsid w:val="00F92BF6"/>
    <w:rsid w:val="00F92E3A"/>
    <w:rsid w:val="00F93285"/>
    <w:rsid w:val="00F936D8"/>
    <w:rsid w:val="00F93706"/>
    <w:rsid w:val="00F937A0"/>
    <w:rsid w:val="00F959ED"/>
    <w:rsid w:val="00F96073"/>
    <w:rsid w:val="00F9711E"/>
    <w:rsid w:val="00F97C53"/>
    <w:rsid w:val="00F97F2A"/>
    <w:rsid w:val="00FA1AED"/>
    <w:rsid w:val="00FA1C60"/>
    <w:rsid w:val="00FA1D7B"/>
    <w:rsid w:val="00FA1E6D"/>
    <w:rsid w:val="00FA283C"/>
    <w:rsid w:val="00FA2EAC"/>
    <w:rsid w:val="00FA3096"/>
    <w:rsid w:val="00FA31BE"/>
    <w:rsid w:val="00FA341B"/>
    <w:rsid w:val="00FA471A"/>
    <w:rsid w:val="00FA483B"/>
    <w:rsid w:val="00FA48E6"/>
    <w:rsid w:val="00FA4B48"/>
    <w:rsid w:val="00FA5424"/>
    <w:rsid w:val="00FA562F"/>
    <w:rsid w:val="00FA6A3A"/>
    <w:rsid w:val="00FA6F5D"/>
    <w:rsid w:val="00FA72A0"/>
    <w:rsid w:val="00FB10B4"/>
    <w:rsid w:val="00FB13B3"/>
    <w:rsid w:val="00FB2AC8"/>
    <w:rsid w:val="00FB2EB9"/>
    <w:rsid w:val="00FB469F"/>
    <w:rsid w:val="00FB501D"/>
    <w:rsid w:val="00FB5F11"/>
    <w:rsid w:val="00FC048C"/>
    <w:rsid w:val="00FC09A1"/>
    <w:rsid w:val="00FC2840"/>
    <w:rsid w:val="00FC2D24"/>
    <w:rsid w:val="00FC2F72"/>
    <w:rsid w:val="00FC370E"/>
    <w:rsid w:val="00FC3D52"/>
    <w:rsid w:val="00FC3F3E"/>
    <w:rsid w:val="00FC43DF"/>
    <w:rsid w:val="00FC4630"/>
    <w:rsid w:val="00FC7030"/>
    <w:rsid w:val="00FD25B3"/>
    <w:rsid w:val="00FD3A4C"/>
    <w:rsid w:val="00FD3B42"/>
    <w:rsid w:val="00FD4315"/>
    <w:rsid w:val="00FD4CF1"/>
    <w:rsid w:val="00FD5B3F"/>
    <w:rsid w:val="00FD68AD"/>
    <w:rsid w:val="00FD7064"/>
    <w:rsid w:val="00FE043D"/>
    <w:rsid w:val="00FE119F"/>
    <w:rsid w:val="00FE13D9"/>
    <w:rsid w:val="00FE2387"/>
    <w:rsid w:val="00FE298D"/>
    <w:rsid w:val="00FE29BD"/>
    <w:rsid w:val="00FE2BDB"/>
    <w:rsid w:val="00FE33CE"/>
    <w:rsid w:val="00FE5431"/>
    <w:rsid w:val="00FE547C"/>
    <w:rsid w:val="00FE569A"/>
    <w:rsid w:val="00FE5CF7"/>
    <w:rsid w:val="00FE6479"/>
    <w:rsid w:val="00FE6696"/>
    <w:rsid w:val="00FE6734"/>
    <w:rsid w:val="00FE6F04"/>
    <w:rsid w:val="00FE7477"/>
    <w:rsid w:val="00FE7A3B"/>
    <w:rsid w:val="00FE7CC7"/>
    <w:rsid w:val="00FE7E83"/>
    <w:rsid w:val="00FF0065"/>
    <w:rsid w:val="00FF0473"/>
    <w:rsid w:val="00FF0AD9"/>
    <w:rsid w:val="00FF0FD9"/>
    <w:rsid w:val="00FF135F"/>
    <w:rsid w:val="00FF1A91"/>
    <w:rsid w:val="00FF1AF7"/>
    <w:rsid w:val="00FF27A3"/>
    <w:rsid w:val="00FF2D20"/>
    <w:rsid w:val="00FF3468"/>
    <w:rsid w:val="00FF402F"/>
    <w:rsid w:val="00FF4123"/>
    <w:rsid w:val="00FF43D3"/>
    <w:rsid w:val="00FF4749"/>
    <w:rsid w:val="00FF645A"/>
    <w:rsid w:val="00FF7530"/>
    <w:rsid w:val="00FF75DC"/>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E3BAB2"/>
  <w15:docId w15:val="{6BB497E5-10E8-48DB-8F08-A229C4A40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172"/>
    <w:rPr>
      <w:rFonts w:ascii="Arial" w:hAnsi="Arial" w:cs="Arial"/>
      <w:sz w:val="22"/>
      <w:szCs w:val="24"/>
    </w:rPr>
  </w:style>
  <w:style w:type="paragraph" w:styleId="Heading1">
    <w:name w:val="heading 1"/>
    <w:basedOn w:val="Normal"/>
    <w:next w:val="TOC1"/>
    <w:link w:val="Heading1Char"/>
    <w:qFormat/>
    <w:rsid w:val="00143C69"/>
    <w:pPr>
      <w:keepNext/>
      <w:spacing w:before="240" w:after="60"/>
      <w:jc w:val="center"/>
      <w:outlineLvl w:val="0"/>
    </w:pPr>
    <w:rPr>
      <w:rFonts w:cs="Times New Roman"/>
      <w:b/>
      <w:bCs/>
      <w:smallCaps/>
      <w:kern w:val="32"/>
      <w:sz w:val="36"/>
      <w:szCs w:val="32"/>
      <w:lang w:val="x-none" w:eastAsia="x-none"/>
    </w:rPr>
  </w:style>
  <w:style w:type="paragraph" w:styleId="Heading2">
    <w:name w:val="heading 2"/>
    <w:basedOn w:val="Normal"/>
    <w:next w:val="TOC2"/>
    <w:link w:val="Heading2Char"/>
    <w:qFormat/>
    <w:rsid w:val="004C3E1A"/>
    <w:pPr>
      <w:keepNext/>
      <w:jc w:val="right"/>
      <w:outlineLvl w:val="1"/>
    </w:pPr>
    <w:rPr>
      <w:rFonts w:cs="Times New Roman"/>
      <w:b/>
      <w:bCs/>
      <w:sz w:val="32"/>
      <w:szCs w:val="28"/>
      <w:lang w:val="x-none" w:eastAsia="x-none"/>
    </w:rPr>
  </w:style>
  <w:style w:type="paragraph" w:styleId="Heading3">
    <w:name w:val="heading 3"/>
    <w:basedOn w:val="Normal"/>
    <w:next w:val="Normal"/>
    <w:qFormat/>
    <w:rsid w:val="002919D4"/>
    <w:pPr>
      <w:keepNext/>
      <w:spacing w:before="240" w:after="60"/>
      <w:jc w:val="center"/>
      <w:outlineLvl w:val="2"/>
    </w:pPr>
    <w:rPr>
      <w:b/>
      <w:bCs/>
      <w:sz w:val="28"/>
      <w:szCs w:val="26"/>
    </w:rPr>
  </w:style>
  <w:style w:type="paragraph" w:styleId="Heading4">
    <w:name w:val="heading 4"/>
    <w:basedOn w:val="Normal"/>
    <w:next w:val="Normal"/>
    <w:qFormat/>
    <w:rsid w:val="007A6BC2"/>
    <w:pPr>
      <w:keepNext/>
      <w:spacing w:before="240" w:after="60"/>
      <w:jc w:val="center"/>
      <w:outlineLvl w:val="3"/>
    </w:pPr>
    <w:rPr>
      <w:rFonts w:cs="Times New Roman"/>
      <w:b/>
      <w:bCs/>
      <w:i/>
      <w:sz w:val="24"/>
      <w:szCs w:val="28"/>
    </w:rPr>
  </w:style>
  <w:style w:type="paragraph" w:styleId="Heading5">
    <w:name w:val="heading 5"/>
    <w:basedOn w:val="Normal"/>
    <w:next w:val="Normal"/>
    <w:qFormat/>
    <w:rsid w:val="00925D62"/>
    <w:pPr>
      <w:spacing w:before="240" w:after="60"/>
      <w:outlineLvl w:val="4"/>
    </w:pPr>
    <w:rPr>
      <w:b/>
      <w:bCs/>
      <w:i/>
      <w:iCs/>
      <w:sz w:val="26"/>
      <w:szCs w:val="26"/>
    </w:rPr>
  </w:style>
  <w:style w:type="paragraph" w:styleId="Heading6">
    <w:name w:val="heading 6"/>
    <w:basedOn w:val="Normal"/>
    <w:next w:val="Normal"/>
    <w:qFormat/>
    <w:rsid w:val="00E5472A"/>
    <w:pPr>
      <w:spacing w:before="240" w:after="60"/>
      <w:outlineLvl w:val="5"/>
    </w:pPr>
    <w:rPr>
      <w:rFonts w:ascii="Times New Roman" w:hAnsi="Times New Roman" w:cs="Times New Roman"/>
      <w:b/>
      <w:bCs/>
      <w:szCs w:val="22"/>
    </w:rPr>
  </w:style>
  <w:style w:type="paragraph" w:styleId="Heading7">
    <w:name w:val="heading 7"/>
    <w:basedOn w:val="Normal"/>
    <w:next w:val="Normal"/>
    <w:qFormat/>
    <w:rsid w:val="00E5472A"/>
    <w:pPr>
      <w:spacing w:before="240" w:after="60"/>
      <w:outlineLvl w:val="6"/>
    </w:pPr>
    <w:rPr>
      <w:rFonts w:ascii="Times New Roman" w:hAnsi="Times New Roman" w:cs="Times New Roman"/>
      <w:sz w:val="24"/>
    </w:rPr>
  </w:style>
  <w:style w:type="paragraph" w:styleId="Heading9">
    <w:name w:val="heading 9"/>
    <w:basedOn w:val="Normal"/>
    <w:next w:val="Normal"/>
    <w:qFormat/>
    <w:rsid w:val="00624805"/>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67">
    <w:name w:val="xl67"/>
    <w:basedOn w:val="Normal"/>
    <w:rsid w:val="00925D62"/>
    <w:pPr>
      <w:spacing w:before="100" w:beforeAutospacing="1" w:after="100" w:afterAutospacing="1"/>
      <w:jc w:val="center"/>
    </w:pPr>
    <w:rPr>
      <w:rFonts w:ascii="Times New Roman" w:eastAsia="Arial Unicode MS" w:hAnsi="Times New Roman" w:cs="Times New Roman"/>
      <w:sz w:val="24"/>
    </w:rPr>
  </w:style>
  <w:style w:type="paragraph" w:customStyle="1" w:styleId="xl21">
    <w:name w:val="xl21"/>
    <w:basedOn w:val="Normal"/>
    <w:rsid w:val="00925D62"/>
    <w:pPr>
      <w:spacing w:before="100" w:beforeAutospacing="1" w:after="100" w:afterAutospacing="1"/>
    </w:pPr>
    <w:rPr>
      <w:rFonts w:ascii="Times New Roman" w:eastAsia="Arial Unicode MS" w:hAnsi="Times New Roman" w:cs="Times New Roman"/>
      <w:b/>
      <w:bCs/>
      <w:sz w:val="28"/>
      <w:szCs w:val="28"/>
    </w:rPr>
  </w:style>
  <w:style w:type="paragraph" w:styleId="BodyTextIndent">
    <w:name w:val="Body Text Indent"/>
    <w:basedOn w:val="Normal"/>
    <w:rsid w:val="007A7694"/>
    <w:pPr>
      <w:ind w:left="720"/>
      <w:jc w:val="both"/>
    </w:pPr>
    <w:rPr>
      <w:rFonts w:ascii="Times New Roman" w:hAnsi="Times New Roman" w:cs="Times New Roman"/>
      <w:sz w:val="24"/>
    </w:rPr>
  </w:style>
  <w:style w:type="paragraph" w:customStyle="1" w:styleId="font6">
    <w:name w:val="font6"/>
    <w:basedOn w:val="Normal"/>
    <w:rsid w:val="007A7694"/>
    <w:pPr>
      <w:spacing w:before="100" w:beforeAutospacing="1" w:after="100" w:afterAutospacing="1"/>
    </w:pPr>
    <w:rPr>
      <w:rFonts w:eastAsia="Arial Unicode MS"/>
      <w:szCs w:val="22"/>
    </w:rPr>
  </w:style>
  <w:style w:type="paragraph" w:styleId="Header">
    <w:name w:val="header"/>
    <w:basedOn w:val="Normal"/>
    <w:rsid w:val="007A7694"/>
    <w:pPr>
      <w:tabs>
        <w:tab w:val="center" w:pos="4320"/>
        <w:tab w:val="right" w:pos="8640"/>
      </w:tabs>
    </w:pPr>
    <w:rPr>
      <w:rFonts w:ascii="Times New Roman" w:hAnsi="Times New Roman" w:cs="Times New Roman"/>
      <w:sz w:val="24"/>
    </w:rPr>
  </w:style>
  <w:style w:type="paragraph" w:styleId="Footer">
    <w:name w:val="footer"/>
    <w:basedOn w:val="Normal"/>
    <w:link w:val="FooterChar"/>
    <w:uiPriority w:val="99"/>
    <w:rsid w:val="007A7694"/>
    <w:pPr>
      <w:tabs>
        <w:tab w:val="center" w:pos="4320"/>
        <w:tab w:val="right" w:pos="8640"/>
      </w:tabs>
    </w:pPr>
    <w:rPr>
      <w:rFonts w:ascii="Times New Roman" w:hAnsi="Times New Roman" w:cs="Times New Roman"/>
      <w:sz w:val="24"/>
      <w:lang w:val="x-none" w:eastAsia="x-none"/>
    </w:rPr>
  </w:style>
  <w:style w:type="paragraph" w:styleId="BodyText">
    <w:name w:val="Body Text"/>
    <w:basedOn w:val="Normal"/>
    <w:rsid w:val="007A7694"/>
    <w:pPr>
      <w:spacing w:after="120"/>
    </w:pPr>
  </w:style>
  <w:style w:type="paragraph" w:styleId="BodyText3">
    <w:name w:val="Body Text 3"/>
    <w:basedOn w:val="Normal"/>
    <w:rsid w:val="007A7694"/>
    <w:pPr>
      <w:spacing w:after="120"/>
    </w:pPr>
    <w:rPr>
      <w:sz w:val="16"/>
      <w:szCs w:val="16"/>
    </w:rPr>
  </w:style>
  <w:style w:type="table" w:styleId="TableGrid">
    <w:name w:val="Table Grid"/>
    <w:basedOn w:val="TableNormal"/>
    <w:rsid w:val="007D0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rsid w:val="00C276DE"/>
    <w:pPr>
      <w:spacing w:after="120"/>
      <w:ind w:left="360"/>
    </w:pPr>
    <w:rPr>
      <w:sz w:val="16"/>
      <w:szCs w:val="16"/>
    </w:rPr>
  </w:style>
  <w:style w:type="paragraph" w:styleId="BodyTextIndent2">
    <w:name w:val="Body Text Indent 2"/>
    <w:basedOn w:val="Normal"/>
    <w:rsid w:val="0038263A"/>
    <w:pPr>
      <w:spacing w:after="120" w:line="480" w:lineRule="auto"/>
      <w:ind w:left="360"/>
    </w:pPr>
  </w:style>
  <w:style w:type="paragraph" w:customStyle="1" w:styleId="Level3">
    <w:name w:val="Level 3"/>
    <w:rsid w:val="00DD1A3A"/>
    <w:pPr>
      <w:autoSpaceDE w:val="0"/>
      <w:autoSpaceDN w:val="0"/>
      <w:adjustRightInd w:val="0"/>
      <w:ind w:left="2160"/>
    </w:pPr>
    <w:rPr>
      <w:rFonts w:ascii="CG Times" w:hAnsi="CG Times"/>
      <w:szCs w:val="24"/>
    </w:rPr>
  </w:style>
  <w:style w:type="character" w:styleId="PageNumber">
    <w:name w:val="page number"/>
    <w:rsid w:val="00694E21"/>
    <w:rPr>
      <w:rFonts w:ascii="Arial" w:hAnsi="Arial" w:cs="Arial"/>
      <w:sz w:val="22"/>
      <w:szCs w:val="22"/>
    </w:rPr>
  </w:style>
  <w:style w:type="paragraph" w:customStyle="1" w:styleId="QuickA">
    <w:name w:val="Quick A."/>
    <w:rsid w:val="00624805"/>
    <w:pPr>
      <w:autoSpaceDE w:val="0"/>
      <w:autoSpaceDN w:val="0"/>
      <w:adjustRightInd w:val="0"/>
      <w:ind w:left="-1440"/>
    </w:pPr>
    <w:rPr>
      <w:rFonts w:ascii="CG Times" w:hAnsi="CG Times"/>
      <w:szCs w:val="24"/>
    </w:rPr>
  </w:style>
  <w:style w:type="character" w:styleId="Hyperlink">
    <w:name w:val="Hyperlink"/>
    <w:uiPriority w:val="99"/>
    <w:rsid w:val="00624805"/>
    <w:rPr>
      <w:color w:val="0000FF"/>
      <w:u w:val="single"/>
    </w:rPr>
  </w:style>
  <w:style w:type="paragraph" w:styleId="BlockText">
    <w:name w:val="Block Text"/>
    <w:basedOn w:val="Normal"/>
    <w:rsid w:val="00985934"/>
    <w:pPr>
      <w:tabs>
        <w:tab w:val="left" w:pos="0"/>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ight="720" w:hanging="1440"/>
    </w:pPr>
    <w:rPr>
      <w:rFonts w:ascii="CG Times" w:hAnsi="CG Times" w:cs="Times New Roman"/>
      <w:sz w:val="20"/>
    </w:rPr>
  </w:style>
  <w:style w:type="paragraph" w:customStyle="1" w:styleId="Level1">
    <w:name w:val="Level 1"/>
    <w:rsid w:val="00736D9B"/>
    <w:pPr>
      <w:autoSpaceDE w:val="0"/>
      <w:autoSpaceDN w:val="0"/>
      <w:adjustRightInd w:val="0"/>
      <w:ind w:left="720"/>
    </w:pPr>
    <w:rPr>
      <w:rFonts w:ascii="CG Times" w:hAnsi="CG Times"/>
      <w:szCs w:val="24"/>
    </w:rPr>
  </w:style>
  <w:style w:type="character" w:styleId="FollowedHyperlink">
    <w:name w:val="FollowedHyperlink"/>
    <w:rsid w:val="00BA1780"/>
    <w:rPr>
      <w:color w:val="800040"/>
      <w:u w:val="single"/>
    </w:rPr>
  </w:style>
  <w:style w:type="character" w:customStyle="1" w:styleId="Heading1Char">
    <w:name w:val="Heading 1 Char"/>
    <w:link w:val="Heading1"/>
    <w:rsid w:val="00143C69"/>
    <w:rPr>
      <w:rFonts w:ascii="Arial" w:hAnsi="Arial" w:cs="Arial"/>
      <w:b/>
      <w:bCs/>
      <w:smallCaps/>
      <w:kern w:val="32"/>
      <w:sz w:val="36"/>
      <w:szCs w:val="32"/>
    </w:rPr>
  </w:style>
  <w:style w:type="paragraph" w:styleId="BalloonText">
    <w:name w:val="Balloon Text"/>
    <w:basedOn w:val="Normal"/>
    <w:semiHidden/>
    <w:rsid w:val="00D74224"/>
    <w:rPr>
      <w:rFonts w:ascii="Tahoma" w:hAnsi="Tahoma" w:cs="Tahoma"/>
      <w:sz w:val="16"/>
      <w:szCs w:val="16"/>
    </w:rPr>
  </w:style>
  <w:style w:type="paragraph" w:customStyle="1" w:styleId="Normal14pt">
    <w:name w:val="Normal + 14 pt"/>
    <w:aliases w:val="Bold,Small caps"/>
    <w:basedOn w:val="Heading1"/>
    <w:link w:val="Normal14ptChar"/>
    <w:rsid w:val="00502AEA"/>
    <w:pPr>
      <w:ind w:right="-258"/>
    </w:pPr>
    <w:rPr>
      <w:sz w:val="28"/>
      <w:szCs w:val="24"/>
    </w:rPr>
  </w:style>
  <w:style w:type="character" w:customStyle="1" w:styleId="Normal14ptChar">
    <w:name w:val="Normal + 14 pt Char"/>
    <w:aliases w:val="Bold Char,Small caps Char"/>
    <w:link w:val="Normal14pt"/>
    <w:rsid w:val="00502AEA"/>
    <w:rPr>
      <w:rFonts w:ascii="Arial" w:hAnsi="Arial" w:cs="Arial"/>
      <w:b/>
      <w:bCs/>
      <w:smallCaps/>
      <w:kern w:val="32"/>
      <w:sz w:val="28"/>
      <w:szCs w:val="24"/>
    </w:rPr>
  </w:style>
  <w:style w:type="character" w:customStyle="1" w:styleId="Heading2Char">
    <w:name w:val="Heading 2 Char"/>
    <w:link w:val="Heading2"/>
    <w:rsid w:val="004C3E1A"/>
    <w:rPr>
      <w:rFonts w:ascii="Arial" w:hAnsi="Arial"/>
      <w:b/>
      <w:bCs/>
      <w:sz w:val="32"/>
      <w:szCs w:val="28"/>
    </w:rPr>
  </w:style>
  <w:style w:type="paragraph" w:customStyle="1" w:styleId="Heading1-12pt">
    <w:name w:val="Heading 1 +  -12 pt"/>
    <w:basedOn w:val="Heading1"/>
    <w:rsid w:val="00E97D46"/>
    <w:pPr>
      <w:ind w:left="-240"/>
    </w:pPr>
  </w:style>
  <w:style w:type="character" w:customStyle="1" w:styleId="FooterChar">
    <w:name w:val="Footer Char"/>
    <w:link w:val="Footer"/>
    <w:uiPriority w:val="99"/>
    <w:rsid w:val="00DC41BE"/>
    <w:rPr>
      <w:sz w:val="24"/>
      <w:szCs w:val="24"/>
    </w:rPr>
  </w:style>
  <w:style w:type="paragraph" w:styleId="ListParagraph">
    <w:name w:val="List Paragraph"/>
    <w:basedOn w:val="Normal"/>
    <w:uiPriority w:val="34"/>
    <w:qFormat/>
    <w:rsid w:val="00051953"/>
    <w:pPr>
      <w:ind w:left="720"/>
    </w:pPr>
  </w:style>
  <w:style w:type="paragraph" w:customStyle="1" w:styleId="Default">
    <w:name w:val="Default"/>
    <w:rsid w:val="00051953"/>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5F7C7D"/>
    <w:pPr>
      <w:keepLines/>
      <w:spacing w:before="480" w:after="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F235AE"/>
    <w:pPr>
      <w:ind w:left="216"/>
      <w:jc w:val="center"/>
    </w:pPr>
    <w:rPr>
      <w:rFonts w:ascii="Calibri" w:hAnsi="Calibri"/>
      <w:b/>
      <w:bCs/>
      <w:szCs w:val="22"/>
    </w:rPr>
  </w:style>
  <w:style w:type="paragraph" w:styleId="TOC1">
    <w:name w:val="toc 1"/>
    <w:basedOn w:val="Normal"/>
    <w:next w:val="Normal"/>
    <w:autoRedefine/>
    <w:uiPriority w:val="39"/>
    <w:unhideWhenUsed/>
    <w:qFormat/>
    <w:rsid w:val="00193AC3"/>
    <w:pPr>
      <w:tabs>
        <w:tab w:val="right" w:leader="dot" w:pos="10056"/>
      </w:tabs>
      <w:spacing w:before="120"/>
      <w:jc w:val="both"/>
    </w:pPr>
    <w:rPr>
      <w:rFonts w:asciiTheme="minorHAnsi" w:hAnsiTheme="minorHAnsi"/>
      <w:noProof/>
      <w:color w:val="000000" w:themeColor="text1"/>
      <w:sz w:val="24"/>
      <w:szCs w:val="28"/>
    </w:rPr>
  </w:style>
  <w:style w:type="paragraph" w:styleId="TOC3">
    <w:name w:val="toc 3"/>
    <w:basedOn w:val="Normal"/>
    <w:next w:val="Normal"/>
    <w:autoRedefine/>
    <w:uiPriority w:val="39"/>
    <w:unhideWhenUsed/>
    <w:qFormat/>
    <w:rsid w:val="00925CF5"/>
    <w:pPr>
      <w:ind w:left="440"/>
    </w:pPr>
    <w:rPr>
      <w:rFonts w:ascii="Calibri" w:hAnsi="Calibri"/>
      <w:sz w:val="20"/>
      <w:szCs w:val="20"/>
    </w:rPr>
  </w:style>
  <w:style w:type="character" w:customStyle="1" w:styleId="Heading11">
    <w:name w:val="Heading 11"/>
    <w:rsid w:val="00F06CBA"/>
    <w:rPr>
      <w:rFonts w:ascii="Arial" w:hAnsi="Arial"/>
      <w:b/>
      <w:sz w:val="20"/>
    </w:rPr>
  </w:style>
  <w:style w:type="character" w:styleId="Emphasis">
    <w:name w:val="Emphasis"/>
    <w:uiPriority w:val="20"/>
    <w:qFormat/>
    <w:rsid w:val="001D16F4"/>
    <w:rPr>
      <w:i/>
      <w:iCs/>
    </w:rPr>
  </w:style>
  <w:style w:type="paragraph" w:styleId="BodyText2">
    <w:name w:val="Body Text 2"/>
    <w:basedOn w:val="Normal"/>
    <w:link w:val="BodyText2Char"/>
    <w:rsid w:val="00315BF6"/>
    <w:pPr>
      <w:spacing w:after="120" w:line="480" w:lineRule="auto"/>
    </w:pPr>
    <w:rPr>
      <w:rFonts w:cs="Times New Roman"/>
      <w:lang w:val="x-none" w:eastAsia="x-none"/>
    </w:rPr>
  </w:style>
  <w:style w:type="character" w:customStyle="1" w:styleId="BodyText2Char">
    <w:name w:val="Body Text 2 Char"/>
    <w:link w:val="BodyText2"/>
    <w:rsid w:val="00315BF6"/>
    <w:rPr>
      <w:rFonts w:ascii="Arial" w:hAnsi="Arial" w:cs="Arial"/>
      <w:sz w:val="22"/>
      <w:szCs w:val="24"/>
    </w:rPr>
  </w:style>
  <w:style w:type="character" w:styleId="CommentReference">
    <w:name w:val="annotation reference"/>
    <w:uiPriority w:val="99"/>
    <w:rsid w:val="003B60CD"/>
    <w:rPr>
      <w:sz w:val="16"/>
      <w:szCs w:val="16"/>
    </w:rPr>
  </w:style>
  <w:style w:type="paragraph" w:styleId="CommentText">
    <w:name w:val="annotation text"/>
    <w:basedOn w:val="Normal"/>
    <w:link w:val="CommentTextChar"/>
    <w:uiPriority w:val="99"/>
    <w:rsid w:val="003B60CD"/>
    <w:rPr>
      <w:rFonts w:cs="Times New Roman"/>
      <w:sz w:val="20"/>
      <w:szCs w:val="20"/>
      <w:lang w:val="x-none" w:eastAsia="x-none"/>
    </w:rPr>
  </w:style>
  <w:style w:type="character" w:customStyle="1" w:styleId="CommentTextChar">
    <w:name w:val="Comment Text Char"/>
    <w:link w:val="CommentText"/>
    <w:uiPriority w:val="99"/>
    <w:rsid w:val="003B60CD"/>
    <w:rPr>
      <w:rFonts w:ascii="Arial" w:hAnsi="Arial" w:cs="Arial"/>
    </w:rPr>
  </w:style>
  <w:style w:type="paragraph" w:styleId="CommentSubject">
    <w:name w:val="annotation subject"/>
    <w:basedOn w:val="CommentText"/>
    <w:next w:val="CommentText"/>
    <w:link w:val="CommentSubjectChar"/>
    <w:rsid w:val="003B60CD"/>
    <w:rPr>
      <w:b/>
      <w:bCs/>
    </w:rPr>
  </w:style>
  <w:style w:type="character" w:customStyle="1" w:styleId="CommentSubjectChar">
    <w:name w:val="Comment Subject Char"/>
    <w:link w:val="CommentSubject"/>
    <w:rsid w:val="003B60CD"/>
    <w:rPr>
      <w:rFonts w:ascii="Arial" w:hAnsi="Arial" w:cs="Arial"/>
      <w:b/>
      <w:bCs/>
    </w:rPr>
  </w:style>
  <w:style w:type="paragraph" w:styleId="TOC4">
    <w:name w:val="toc 4"/>
    <w:basedOn w:val="Normal"/>
    <w:next w:val="Normal"/>
    <w:autoRedefine/>
    <w:uiPriority w:val="39"/>
    <w:rsid w:val="006248E6"/>
    <w:pPr>
      <w:ind w:left="660"/>
    </w:pPr>
    <w:rPr>
      <w:rFonts w:ascii="Calibri" w:hAnsi="Calibri"/>
      <w:sz w:val="20"/>
      <w:szCs w:val="20"/>
    </w:rPr>
  </w:style>
  <w:style w:type="paragraph" w:styleId="TOC5">
    <w:name w:val="toc 5"/>
    <w:basedOn w:val="Normal"/>
    <w:next w:val="Normal"/>
    <w:autoRedefine/>
    <w:uiPriority w:val="39"/>
    <w:unhideWhenUsed/>
    <w:rsid w:val="00454F60"/>
    <w:pPr>
      <w:ind w:left="880"/>
    </w:pPr>
    <w:rPr>
      <w:rFonts w:ascii="Calibri" w:hAnsi="Calibri"/>
      <w:sz w:val="20"/>
      <w:szCs w:val="20"/>
    </w:rPr>
  </w:style>
  <w:style w:type="paragraph" w:styleId="TOC6">
    <w:name w:val="toc 6"/>
    <w:basedOn w:val="Normal"/>
    <w:next w:val="Normal"/>
    <w:autoRedefine/>
    <w:uiPriority w:val="39"/>
    <w:unhideWhenUsed/>
    <w:rsid w:val="00454F60"/>
    <w:pPr>
      <w:ind w:left="1100"/>
    </w:pPr>
    <w:rPr>
      <w:rFonts w:ascii="Calibri" w:hAnsi="Calibri"/>
      <w:sz w:val="20"/>
      <w:szCs w:val="20"/>
    </w:rPr>
  </w:style>
  <w:style w:type="paragraph" w:styleId="TOC7">
    <w:name w:val="toc 7"/>
    <w:basedOn w:val="Normal"/>
    <w:next w:val="Normal"/>
    <w:autoRedefine/>
    <w:uiPriority w:val="39"/>
    <w:unhideWhenUsed/>
    <w:rsid w:val="00454F60"/>
    <w:pPr>
      <w:ind w:left="1320"/>
    </w:pPr>
    <w:rPr>
      <w:rFonts w:ascii="Calibri" w:hAnsi="Calibri"/>
      <w:sz w:val="20"/>
      <w:szCs w:val="20"/>
    </w:rPr>
  </w:style>
  <w:style w:type="paragraph" w:styleId="TOC8">
    <w:name w:val="toc 8"/>
    <w:basedOn w:val="Normal"/>
    <w:next w:val="Normal"/>
    <w:autoRedefine/>
    <w:uiPriority w:val="39"/>
    <w:unhideWhenUsed/>
    <w:rsid w:val="00454F60"/>
    <w:pPr>
      <w:ind w:left="1540"/>
    </w:pPr>
    <w:rPr>
      <w:rFonts w:ascii="Calibri" w:hAnsi="Calibri"/>
      <w:sz w:val="20"/>
      <w:szCs w:val="20"/>
    </w:rPr>
  </w:style>
  <w:style w:type="paragraph" w:styleId="TOC9">
    <w:name w:val="toc 9"/>
    <w:basedOn w:val="Normal"/>
    <w:next w:val="Normal"/>
    <w:autoRedefine/>
    <w:uiPriority w:val="39"/>
    <w:unhideWhenUsed/>
    <w:rsid w:val="00454F60"/>
    <w:pPr>
      <w:ind w:left="1760"/>
    </w:pPr>
    <w:rPr>
      <w:rFonts w:ascii="Calibri" w:hAnsi="Calibri"/>
      <w:sz w:val="20"/>
      <w:szCs w:val="20"/>
    </w:rPr>
  </w:style>
  <w:style w:type="character" w:styleId="Strong">
    <w:name w:val="Strong"/>
    <w:qFormat/>
    <w:rsid w:val="001D0D8E"/>
    <w:rPr>
      <w:b/>
      <w:bCs/>
    </w:rPr>
  </w:style>
  <w:style w:type="paragraph" w:styleId="FootnoteText">
    <w:name w:val="footnote text"/>
    <w:basedOn w:val="Normal"/>
    <w:link w:val="FootnoteTextChar"/>
    <w:rsid w:val="006C0AFE"/>
    <w:rPr>
      <w:sz w:val="20"/>
      <w:szCs w:val="20"/>
    </w:rPr>
  </w:style>
  <w:style w:type="character" w:customStyle="1" w:styleId="FootnoteTextChar">
    <w:name w:val="Footnote Text Char"/>
    <w:basedOn w:val="DefaultParagraphFont"/>
    <w:link w:val="FootnoteText"/>
    <w:rsid w:val="006C0AFE"/>
    <w:rPr>
      <w:rFonts w:ascii="Arial" w:hAnsi="Arial" w:cs="Arial"/>
    </w:rPr>
  </w:style>
  <w:style w:type="character" w:styleId="FootnoteReference">
    <w:name w:val="footnote reference"/>
    <w:basedOn w:val="DefaultParagraphFont"/>
    <w:rsid w:val="006C0AFE"/>
    <w:rPr>
      <w:vertAlign w:val="superscript"/>
    </w:rPr>
  </w:style>
  <w:style w:type="paragraph" w:styleId="Revision">
    <w:name w:val="Revision"/>
    <w:hidden/>
    <w:uiPriority w:val="99"/>
    <w:semiHidden/>
    <w:rsid w:val="004D3352"/>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2900">
      <w:bodyDiv w:val="1"/>
      <w:marLeft w:val="0"/>
      <w:marRight w:val="0"/>
      <w:marTop w:val="0"/>
      <w:marBottom w:val="0"/>
      <w:divBdr>
        <w:top w:val="none" w:sz="0" w:space="0" w:color="auto"/>
        <w:left w:val="none" w:sz="0" w:space="0" w:color="auto"/>
        <w:bottom w:val="none" w:sz="0" w:space="0" w:color="auto"/>
        <w:right w:val="none" w:sz="0" w:space="0" w:color="auto"/>
      </w:divBdr>
    </w:div>
    <w:div w:id="7485500">
      <w:bodyDiv w:val="1"/>
      <w:marLeft w:val="0"/>
      <w:marRight w:val="0"/>
      <w:marTop w:val="0"/>
      <w:marBottom w:val="0"/>
      <w:divBdr>
        <w:top w:val="none" w:sz="0" w:space="0" w:color="auto"/>
        <w:left w:val="none" w:sz="0" w:space="0" w:color="auto"/>
        <w:bottom w:val="none" w:sz="0" w:space="0" w:color="auto"/>
        <w:right w:val="none" w:sz="0" w:space="0" w:color="auto"/>
      </w:divBdr>
    </w:div>
    <w:div w:id="23991669">
      <w:bodyDiv w:val="1"/>
      <w:marLeft w:val="0"/>
      <w:marRight w:val="0"/>
      <w:marTop w:val="0"/>
      <w:marBottom w:val="0"/>
      <w:divBdr>
        <w:top w:val="none" w:sz="0" w:space="0" w:color="auto"/>
        <w:left w:val="none" w:sz="0" w:space="0" w:color="auto"/>
        <w:bottom w:val="none" w:sz="0" w:space="0" w:color="auto"/>
        <w:right w:val="none" w:sz="0" w:space="0" w:color="auto"/>
      </w:divBdr>
    </w:div>
    <w:div w:id="37054347">
      <w:bodyDiv w:val="1"/>
      <w:marLeft w:val="0"/>
      <w:marRight w:val="0"/>
      <w:marTop w:val="0"/>
      <w:marBottom w:val="0"/>
      <w:divBdr>
        <w:top w:val="none" w:sz="0" w:space="0" w:color="auto"/>
        <w:left w:val="none" w:sz="0" w:space="0" w:color="auto"/>
        <w:bottom w:val="none" w:sz="0" w:space="0" w:color="auto"/>
        <w:right w:val="none" w:sz="0" w:space="0" w:color="auto"/>
      </w:divBdr>
    </w:div>
    <w:div w:id="38408190">
      <w:bodyDiv w:val="1"/>
      <w:marLeft w:val="0"/>
      <w:marRight w:val="0"/>
      <w:marTop w:val="0"/>
      <w:marBottom w:val="0"/>
      <w:divBdr>
        <w:top w:val="none" w:sz="0" w:space="0" w:color="auto"/>
        <w:left w:val="none" w:sz="0" w:space="0" w:color="auto"/>
        <w:bottom w:val="none" w:sz="0" w:space="0" w:color="auto"/>
        <w:right w:val="none" w:sz="0" w:space="0" w:color="auto"/>
      </w:divBdr>
    </w:div>
    <w:div w:id="59905714">
      <w:bodyDiv w:val="1"/>
      <w:marLeft w:val="0"/>
      <w:marRight w:val="0"/>
      <w:marTop w:val="0"/>
      <w:marBottom w:val="0"/>
      <w:divBdr>
        <w:top w:val="none" w:sz="0" w:space="0" w:color="auto"/>
        <w:left w:val="none" w:sz="0" w:space="0" w:color="auto"/>
        <w:bottom w:val="none" w:sz="0" w:space="0" w:color="auto"/>
        <w:right w:val="none" w:sz="0" w:space="0" w:color="auto"/>
      </w:divBdr>
    </w:div>
    <w:div w:id="77293975">
      <w:bodyDiv w:val="1"/>
      <w:marLeft w:val="0"/>
      <w:marRight w:val="0"/>
      <w:marTop w:val="0"/>
      <w:marBottom w:val="0"/>
      <w:divBdr>
        <w:top w:val="none" w:sz="0" w:space="0" w:color="auto"/>
        <w:left w:val="none" w:sz="0" w:space="0" w:color="auto"/>
        <w:bottom w:val="none" w:sz="0" w:space="0" w:color="auto"/>
        <w:right w:val="none" w:sz="0" w:space="0" w:color="auto"/>
      </w:divBdr>
    </w:div>
    <w:div w:id="80445353">
      <w:bodyDiv w:val="1"/>
      <w:marLeft w:val="0"/>
      <w:marRight w:val="0"/>
      <w:marTop w:val="0"/>
      <w:marBottom w:val="0"/>
      <w:divBdr>
        <w:top w:val="none" w:sz="0" w:space="0" w:color="auto"/>
        <w:left w:val="none" w:sz="0" w:space="0" w:color="auto"/>
        <w:bottom w:val="none" w:sz="0" w:space="0" w:color="auto"/>
        <w:right w:val="none" w:sz="0" w:space="0" w:color="auto"/>
      </w:divBdr>
    </w:div>
    <w:div w:id="91052685">
      <w:bodyDiv w:val="1"/>
      <w:marLeft w:val="0"/>
      <w:marRight w:val="0"/>
      <w:marTop w:val="0"/>
      <w:marBottom w:val="0"/>
      <w:divBdr>
        <w:top w:val="none" w:sz="0" w:space="0" w:color="auto"/>
        <w:left w:val="none" w:sz="0" w:space="0" w:color="auto"/>
        <w:bottom w:val="none" w:sz="0" w:space="0" w:color="auto"/>
        <w:right w:val="none" w:sz="0" w:space="0" w:color="auto"/>
      </w:divBdr>
    </w:div>
    <w:div w:id="103112521">
      <w:bodyDiv w:val="1"/>
      <w:marLeft w:val="0"/>
      <w:marRight w:val="0"/>
      <w:marTop w:val="0"/>
      <w:marBottom w:val="0"/>
      <w:divBdr>
        <w:top w:val="none" w:sz="0" w:space="0" w:color="auto"/>
        <w:left w:val="none" w:sz="0" w:space="0" w:color="auto"/>
        <w:bottom w:val="none" w:sz="0" w:space="0" w:color="auto"/>
        <w:right w:val="none" w:sz="0" w:space="0" w:color="auto"/>
      </w:divBdr>
    </w:div>
    <w:div w:id="136458221">
      <w:bodyDiv w:val="1"/>
      <w:marLeft w:val="0"/>
      <w:marRight w:val="0"/>
      <w:marTop w:val="0"/>
      <w:marBottom w:val="0"/>
      <w:divBdr>
        <w:top w:val="none" w:sz="0" w:space="0" w:color="auto"/>
        <w:left w:val="none" w:sz="0" w:space="0" w:color="auto"/>
        <w:bottom w:val="none" w:sz="0" w:space="0" w:color="auto"/>
        <w:right w:val="none" w:sz="0" w:space="0" w:color="auto"/>
      </w:divBdr>
    </w:div>
    <w:div w:id="139540844">
      <w:bodyDiv w:val="1"/>
      <w:marLeft w:val="0"/>
      <w:marRight w:val="0"/>
      <w:marTop w:val="0"/>
      <w:marBottom w:val="0"/>
      <w:divBdr>
        <w:top w:val="none" w:sz="0" w:space="0" w:color="auto"/>
        <w:left w:val="none" w:sz="0" w:space="0" w:color="auto"/>
        <w:bottom w:val="none" w:sz="0" w:space="0" w:color="auto"/>
        <w:right w:val="none" w:sz="0" w:space="0" w:color="auto"/>
      </w:divBdr>
    </w:div>
    <w:div w:id="148864987">
      <w:bodyDiv w:val="1"/>
      <w:marLeft w:val="0"/>
      <w:marRight w:val="0"/>
      <w:marTop w:val="0"/>
      <w:marBottom w:val="0"/>
      <w:divBdr>
        <w:top w:val="none" w:sz="0" w:space="0" w:color="auto"/>
        <w:left w:val="none" w:sz="0" w:space="0" w:color="auto"/>
        <w:bottom w:val="none" w:sz="0" w:space="0" w:color="auto"/>
        <w:right w:val="none" w:sz="0" w:space="0" w:color="auto"/>
      </w:divBdr>
    </w:div>
    <w:div w:id="149949944">
      <w:bodyDiv w:val="1"/>
      <w:marLeft w:val="0"/>
      <w:marRight w:val="0"/>
      <w:marTop w:val="0"/>
      <w:marBottom w:val="0"/>
      <w:divBdr>
        <w:top w:val="none" w:sz="0" w:space="0" w:color="auto"/>
        <w:left w:val="none" w:sz="0" w:space="0" w:color="auto"/>
        <w:bottom w:val="none" w:sz="0" w:space="0" w:color="auto"/>
        <w:right w:val="none" w:sz="0" w:space="0" w:color="auto"/>
      </w:divBdr>
    </w:div>
    <w:div w:id="169875790">
      <w:bodyDiv w:val="1"/>
      <w:marLeft w:val="0"/>
      <w:marRight w:val="0"/>
      <w:marTop w:val="0"/>
      <w:marBottom w:val="0"/>
      <w:divBdr>
        <w:top w:val="none" w:sz="0" w:space="0" w:color="auto"/>
        <w:left w:val="none" w:sz="0" w:space="0" w:color="auto"/>
        <w:bottom w:val="none" w:sz="0" w:space="0" w:color="auto"/>
        <w:right w:val="none" w:sz="0" w:space="0" w:color="auto"/>
      </w:divBdr>
    </w:div>
    <w:div w:id="172845687">
      <w:bodyDiv w:val="1"/>
      <w:marLeft w:val="0"/>
      <w:marRight w:val="0"/>
      <w:marTop w:val="0"/>
      <w:marBottom w:val="0"/>
      <w:divBdr>
        <w:top w:val="none" w:sz="0" w:space="0" w:color="auto"/>
        <w:left w:val="none" w:sz="0" w:space="0" w:color="auto"/>
        <w:bottom w:val="none" w:sz="0" w:space="0" w:color="auto"/>
        <w:right w:val="none" w:sz="0" w:space="0" w:color="auto"/>
      </w:divBdr>
    </w:div>
    <w:div w:id="176576883">
      <w:bodyDiv w:val="1"/>
      <w:marLeft w:val="0"/>
      <w:marRight w:val="0"/>
      <w:marTop w:val="0"/>
      <w:marBottom w:val="0"/>
      <w:divBdr>
        <w:top w:val="none" w:sz="0" w:space="0" w:color="auto"/>
        <w:left w:val="none" w:sz="0" w:space="0" w:color="auto"/>
        <w:bottom w:val="none" w:sz="0" w:space="0" w:color="auto"/>
        <w:right w:val="none" w:sz="0" w:space="0" w:color="auto"/>
      </w:divBdr>
    </w:div>
    <w:div w:id="187527459">
      <w:bodyDiv w:val="1"/>
      <w:marLeft w:val="0"/>
      <w:marRight w:val="0"/>
      <w:marTop w:val="0"/>
      <w:marBottom w:val="0"/>
      <w:divBdr>
        <w:top w:val="none" w:sz="0" w:space="0" w:color="auto"/>
        <w:left w:val="none" w:sz="0" w:space="0" w:color="auto"/>
        <w:bottom w:val="none" w:sz="0" w:space="0" w:color="auto"/>
        <w:right w:val="none" w:sz="0" w:space="0" w:color="auto"/>
      </w:divBdr>
    </w:div>
    <w:div w:id="198470324">
      <w:bodyDiv w:val="1"/>
      <w:marLeft w:val="0"/>
      <w:marRight w:val="0"/>
      <w:marTop w:val="0"/>
      <w:marBottom w:val="0"/>
      <w:divBdr>
        <w:top w:val="none" w:sz="0" w:space="0" w:color="auto"/>
        <w:left w:val="none" w:sz="0" w:space="0" w:color="auto"/>
        <w:bottom w:val="none" w:sz="0" w:space="0" w:color="auto"/>
        <w:right w:val="none" w:sz="0" w:space="0" w:color="auto"/>
      </w:divBdr>
    </w:div>
    <w:div w:id="203375494">
      <w:bodyDiv w:val="1"/>
      <w:marLeft w:val="0"/>
      <w:marRight w:val="0"/>
      <w:marTop w:val="0"/>
      <w:marBottom w:val="0"/>
      <w:divBdr>
        <w:top w:val="none" w:sz="0" w:space="0" w:color="auto"/>
        <w:left w:val="none" w:sz="0" w:space="0" w:color="auto"/>
        <w:bottom w:val="none" w:sz="0" w:space="0" w:color="auto"/>
        <w:right w:val="none" w:sz="0" w:space="0" w:color="auto"/>
      </w:divBdr>
    </w:div>
    <w:div w:id="211501998">
      <w:bodyDiv w:val="1"/>
      <w:marLeft w:val="0"/>
      <w:marRight w:val="0"/>
      <w:marTop w:val="0"/>
      <w:marBottom w:val="0"/>
      <w:divBdr>
        <w:top w:val="none" w:sz="0" w:space="0" w:color="auto"/>
        <w:left w:val="none" w:sz="0" w:space="0" w:color="auto"/>
        <w:bottom w:val="none" w:sz="0" w:space="0" w:color="auto"/>
        <w:right w:val="none" w:sz="0" w:space="0" w:color="auto"/>
      </w:divBdr>
    </w:div>
    <w:div w:id="229922486">
      <w:bodyDiv w:val="1"/>
      <w:marLeft w:val="0"/>
      <w:marRight w:val="0"/>
      <w:marTop w:val="0"/>
      <w:marBottom w:val="0"/>
      <w:divBdr>
        <w:top w:val="none" w:sz="0" w:space="0" w:color="auto"/>
        <w:left w:val="none" w:sz="0" w:space="0" w:color="auto"/>
        <w:bottom w:val="none" w:sz="0" w:space="0" w:color="auto"/>
        <w:right w:val="none" w:sz="0" w:space="0" w:color="auto"/>
      </w:divBdr>
    </w:div>
    <w:div w:id="234436792">
      <w:bodyDiv w:val="1"/>
      <w:marLeft w:val="0"/>
      <w:marRight w:val="0"/>
      <w:marTop w:val="0"/>
      <w:marBottom w:val="0"/>
      <w:divBdr>
        <w:top w:val="none" w:sz="0" w:space="0" w:color="auto"/>
        <w:left w:val="none" w:sz="0" w:space="0" w:color="auto"/>
        <w:bottom w:val="none" w:sz="0" w:space="0" w:color="auto"/>
        <w:right w:val="none" w:sz="0" w:space="0" w:color="auto"/>
      </w:divBdr>
    </w:div>
    <w:div w:id="236478303">
      <w:bodyDiv w:val="1"/>
      <w:marLeft w:val="0"/>
      <w:marRight w:val="0"/>
      <w:marTop w:val="0"/>
      <w:marBottom w:val="0"/>
      <w:divBdr>
        <w:top w:val="none" w:sz="0" w:space="0" w:color="auto"/>
        <w:left w:val="none" w:sz="0" w:space="0" w:color="auto"/>
        <w:bottom w:val="none" w:sz="0" w:space="0" w:color="auto"/>
        <w:right w:val="none" w:sz="0" w:space="0" w:color="auto"/>
      </w:divBdr>
    </w:div>
    <w:div w:id="240721097">
      <w:bodyDiv w:val="1"/>
      <w:marLeft w:val="0"/>
      <w:marRight w:val="0"/>
      <w:marTop w:val="0"/>
      <w:marBottom w:val="0"/>
      <w:divBdr>
        <w:top w:val="none" w:sz="0" w:space="0" w:color="auto"/>
        <w:left w:val="none" w:sz="0" w:space="0" w:color="auto"/>
        <w:bottom w:val="none" w:sz="0" w:space="0" w:color="auto"/>
        <w:right w:val="none" w:sz="0" w:space="0" w:color="auto"/>
      </w:divBdr>
    </w:div>
    <w:div w:id="242496974">
      <w:bodyDiv w:val="1"/>
      <w:marLeft w:val="0"/>
      <w:marRight w:val="0"/>
      <w:marTop w:val="0"/>
      <w:marBottom w:val="0"/>
      <w:divBdr>
        <w:top w:val="none" w:sz="0" w:space="0" w:color="auto"/>
        <w:left w:val="none" w:sz="0" w:space="0" w:color="auto"/>
        <w:bottom w:val="none" w:sz="0" w:space="0" w:color="auto"/>
        <w:right w:val="none" w:sz="0" w:space="0" w:color="auto"/>
      </w:divBdr>
    </w:div>
    <w:div w:id="271984511">
      <w:bodyDiv w:val="1"/>
      <w:marLeft w:val="0"/>
      <w:marRight w:val="0"/>
      <w:marTop w:val="0"/>
      <w:marBottom w:val="0"/>
      <w:divBdr>
        <w:top w:val="none" w:sz="0" w:space="0" w:color="auto"/>
        <w:left w:val="none" w:sz="0" w:space="0" w:color="auto"/>
        <w:bottom w:val="none" w:sz="0" w:space="0" w:color="auto"/>
        <w:right w:val="none" w:sz="0" w:space="0" w:color="auto"/>
      </w:divBdr>
    </w:div>
    <w:div w:id="288361372">
      <w:bodyDiv w:val="1"/>
      <w:marLeft w:val="0"/>
      <w:marRight w:val="0"/>
      <w:marTop w:val="0"/>
      <w:marBottom w:val="0"/>
      <w:divBdr>
        <w:top w:val="none" w:sz="0" w:space="0" w:color="auto"/>
        <w:left w:val="none" w:sz="0" w:space="0" w:color="auto"/>
        <w:bottom w:val="none" w:sz="0" w:space="0" w:color="auto"/>
        <w:right w:val="none" w:sz="0" w:space="0" w:color="auto"/>
      </w:divBdr>
    </w:div>
    <w:div w:id="289822274">
      <w:bodyDiv w:val="1"/>
      <w:marLeft w:val="0"/>
      <w:marRight w:val="0"/>
      <w:marTop w:val="0"/>
      <w:marBottom w:val="0"/>
      <w:divBdr>
        <w:top w:val="none" w:sz="0" w:space="0" w:color="auto"/>
        <w:left w:val="none" w:sz="0" w:space="0" w:color="auto"/>
        <w:bottom w:val="none" w:sz="0" w:space="0" w:color="auto"/>
        <w:right w:val="none" w:sz="0" w:space="0" w:color="auto"/>
      </w:divBdr>
    </w:div>
    <w:div w:id="358631150">
      <w:bodyDiv w:val="1"/>
      <w:marLeft w:val="0"/>
      <w:marRight w:val="0"/>
      <w:marTop w:val="0"/>
      <w:marBottom w:val="0"/>
      <w:divBdr>
        <w:top w:val="none" w:sz="0" w:space="0" w:color="auto"/>
        <w:left w:val="none" w:sz="0" w:space="0" w:color="auto"/>
        <w:bottom w:val="none" w:sz="0" w:space="0" w:color="auto"/>
        <w:right w:val="none" w:sz="0" w:space="0" w:color="auto"/>
      </w:divBdr>
    </w:div>
    <w:div w:id="366953720">
      <w:bodyDiv w:val="1"/>
      <w:marLeft w:val="0"/>
      <w:marRight w:val="0"/>
      <w:marTop w:val="0"/>
      <w:marBottom w:val="0"/>
      <w:divBdr>
        <w:top w:val="none" w:sz="0" w:space="0" w:color="auto"/>
        <w:left w:val="none" w:sz="0" w:space="0" w:color="auto"/>
        <w:bottom w:val="none" w:sz="0" w:space="0" w:color="auto"/>
        <w:right w:val="none" w:sz="0" w:space="0" w:color="auto"/>
      </w:divBdr>
    </w:div>
    <w:div w:id="393889625">
      <w:bodyDiv w:val="1"/>
      <w:marLeft w:val="0"/>
      <w:marRight w:val="0"/>
      <w:marTop w:val="0"/>
      <w:marBottom w:val="0"/>
      <w:divBdr>
        <w:top w:val="none" w:sz="0" w:space="0" w:color="auto"/>
        <w:left w:val="none" w:sz="0" w:space="0" w:color="auto"/>
        <w:bottom w:val="none" w:sz="0" w:space="0" w:color="auto"/>
        <w:right w:val="none" w:sz="0" w:space="0" w:color="auto"/>
      </w:divBdr>
    </w:div>
    <w:div w:id="403796641">
      <w:bodyDiv w:val="1"/>
      <w:marLeft w:val="0"/>
      <w:marRight w:val="0"/>
      <w:marTop w:val="0"/>
      <w:marBottom w:val="0"/>
      <w:divBdr>
        <w:top w:val="none" w:sz="0" w:space="0" w:color="auto"/>
        <w:left w:val="none" w:sz="0" w:space="0" w:color="auto"/>
        <w:bottom w:val="none" w:sz="0" w:space="0" w:color="auto"/>
        <w:right w:val="none" w:sz="0" w:space="0" w:color="auto"/>
      </w:divBdr>
    </w:div>
    <w:div w:id="425883425">
      <w:bodyDiv w:val="1"/>
      <w:marLeft w:val="0"/>
      <w:marRight w:val="0"/>
      <w:marTop w:val="0"/>
      <w:marBottom w:val="0"/>
      <w:divBdr>
        <w:top w:val="none" w:sz="0" w:space="0" w:color="auto"/>
        <w:left w:val="none" w:sz="0" w:space="0" w:color="auto"/>
        <w:bottom w:val="none" w:sz="0" w:space="0" w:color="auto"/>
        <w:right w:val="none" w:sz="0" w:space="0" w:color="auto"/>
      </w:divBdr>
    </w:div>
    <w:div w:id="438986087">
      <w:bodyDiv w:val="1"/>
      <w:marLeft w:val="0"/>
      <w:marRight w:val="0"/>
      <w:marTop w:val="0"/>
      <w:marBottom w:val="0"/>
      <w:divBdr>
        <w:top w:val="none" w:sz="0" w:space="0" w:color="auto"/>
        <w:left w:val="none" w:sz="0" w:space="0" w:color="auto"/>
        <w:bottom w:val="none" w:sz="0" w:space="0" w:color="auto"/>
        <w:right w:val="none" w:sz="0" w:space="0" w:color="auto"/>
      </w:divBdr>
    </w:div>
    <w:div w:id="439298091">
      <w:bodyDiv w:val="1"/>
      <w:marLeft w:val="0"/>
      <w:marRight w:val="0"/>
      <w:marTop w:val="0"/>
      <w:marBottom w:val="0"/>
      <w:divBdr>
        <w:top w:val="none" w:sz="0" w:space="0" w:color="auto"/>
        <w:left w:val="none" w:sz="0" w:space="0" w:color="auto"/>
        <w:bottom w:val="none" w:sz="0" w:space="0" w:color="auto"/>
        <w:right w:val="none" w:sz="0" w:space="0" w:color="auto"/>
      </w:divBdr>
    </w:div>
    <w:div w:id="446970749">
      <w:bodyDiv w:val="1"/>
      <w:marLeft w:val="0"/>
      <w:marRight w:val="0"/>
      <w:marTop w:val="0"/>
      <w:marBottom w:val="0"/>
      <w:divBdr>
        <w:top w:val="none" w:sz="0" w:space="0" w:color="auto"/>
        <w:left w:val="none" w:sz="0" w:space="0" w:color="auto"/>
        <w:bottom w:val="none" w:sz="0" w:space="0" w:color="auto"/>
        <w:right w:val="none" w:sz="0" w:space="0" w:color="auto"/>
      </w:divBdr>
    </w:div>
    <w:div w:id="462970110">
      <w:bodyDiv w:val="1"/>
      <w:marLeft w:val="0"/>
      <w:marRight w:val="0"/>
      <w:marTop w:val="0"/>
      <w:marBottom w:val="0"/>
      <w:divBdr>
        <w:top w:val="none" w:sz="0" w:space="0" w:color="auto"/>
        <w:left w:val="none" w:sz="0" w:space="0" w:color="auto"/>
        <w:bottom w:val="none" w:sz="0" w:space="0" w:color="auto"/>
        <w:right w:val="none" w:sz="0" w:space="0" w:color="auto"/>
      </w:divBdr>
    </w:div>
    <w:div w:id="475032277">
      <w:bodyDiv w:val="1"/>
      <w:marLeft w:val="0"/>
      <w:marRight w:val="0"/>
      <w:marTop w:val="0"/>
      <w:marBottom w:val="0"/>
      <w:divBdr>
        <w:top w:val="none" w:sz="0" w:space="0" w:color="auto"/>
        <w:left w:val="none" w:sz="0" w:space="0" w:color="auto"/>
        <w:bottom w:val="none" w:sz="0" w:space="0" w:color="auto"/>
        <w:right w:val="none" w:sz="0" w:space="0" w:color="auto"/>
      </w:divBdr>
    </w:div>
    <w:div w:id="475999589">
      <w:bodyDiv w:val="1"/>
      <w:marLeft w:val="0"/>
      <w:marRight w:val="0"/>
      <w:marTop w:val="0"/>
      <w:marBottom w:val="0"/>
      <w:divBdr>
        <w:top w:val="none" w:sz="0" w:space="0" w:color="auto"/>
        <w:left w:val="none" w:sz="0" w:space="0" w:color="auto"/>
        <w:bottom w:val="none" w:sz="0" w:space="0" w:color="auto"/>
        <w:right w:val="none" w:sz="0" w:space="0" w:color="auto"/>
      </w:divBdr>
    </w:div>
    <w:div w:id="476266320">
      <w:bodyDiv w:val="1"/>
      <w:marLeft w:val="0"/>
      <w:marRight w:val="0"/>
      <w:marTop w:val="0"/>
      <w:marBottom w:val="0"/>
      <w:divBdr>
        <w:top w:val="none" w:sz="0" w:space="0" w:color="auto"/>
        <w:left w:val="none" w:sz="0" w:space="0" w:color="auto"/>
        <w:bottom w:val="none" w:sz="0" w:space="0" w:color="auto"/>
        <w:right w:val="none" w:sz="0" w:space="0" w:color="auto"/>
      </w:divBdr>
    </w:div>
    <w:div w:id="482044814">
      <w:bodyDiv w:val="1"/>
      <w:marLeft w:val="0"/>
      <w:marRight w:val="0"/>
      <w:marTop w:val="0"/>
      <w:marBottom w:val="0"/>
      <w:divBdr>
        <w:top w:val="none" w:sz="0" w:space="0" w:color="auto"/>
        <w:left w:val="none" w:sz="0" w:space="0" w:color="auto"/>
        <w:bottom w:val="none" w:sz="0" w:space="0" w:color="auto"/>
        <w:right w:val="none" w:sz="0" w:space="0" w:color="auto"/>
      </w:divBdr>
    </w:div>
    <w:div w:id="491727309">
      <w:bodyDiv w:val="1"/>
      <w:marLeft w:val="0"/>
      <w:marRight w:val="0"/>
      <w:marTop w:val="0"/>
      <w:marBottom w:val="0"/>
      <w:divBdr>
        <w:top w:val="none" w:sz="0" w:space="0" w:color="auto"/>
        <w:left w:val="none" w:sz="0" w:space="0" w:color="auto"/>
        <w:bottom w:val="none" w:sz="0" w:space="0" w:color="auto"/>
        <w:right w:val="none" w:sz="0" w:space="0" w:color="auto"/>
      </w:divBdr>
    </w:div>
    <w:div w:id="492721566">
      <w:bodyDiv w:val="1"/>
      <w:marLeft w:val="0"/>
      <w:marRight w:val="0"/>
      <w:marTop w:val="0"/>
      <w:marBottom w:val="0"/>
      <w:divBdr>
        <w:top w:val="none" w:sz="0" w:space="0" w:color="auto"/>
        <w:left w:val="none" w:sz="0" w:space="0" w:color="auto"/>
        <w:bottom w:val="none" w:sz="0" w:space="0" w:color="auto"/>
        <w:right w:val="none" w:sz="0" w:space="0" w:color="auto"/>
      </w:divBdr>
    </w:div>
    <w:div w:id="497580755">
      <w:bodyDiv w:val="1"/>
      <w:marLeft w:val="0"/>
      <w:marRight w:val="0"/>
      <w:marTop w:val="0"/>
      <w:marBottom w:val="0"/>
      <w:divBdr>
        <w:top w:val="none" w:sz="0" w:space="0" w:color="auto"/>
        <w:left w:val="none" w:sz="0" w:space="0" w:color="auto"/>
        <w:bottom w:val="none" w:sz="0" w:space="0" w:color="auto"/>
        <w:right w:val="none" w:sz="0" w:space="0" w:color="auto"/>
      </w:divBdr>
    </w:div>
    <w:div w:id="523860114">
      <w:bodyDiv w:val="1"/>
      <w:marLeft w:val="0"/>
      <w:marRight w:val="0"/>
      <w:marTop w:val="0"/>
      <w:marBottom w:val="0"/>
      <w:divBdr>
        <w:top w:val="none" w:sz="0" w:space="0" w:color="auto"/>
        <w:left w:val="none" w:sz="0" w:space="0" w:color="auto"/>
        <w:bottom w:val="none" w:sz="0" w:space="0" w:color="auto"/>
        <w:right w:val="none" w:sz="0" w:space="0" w:color="auto"/>
      </w:divBdr>
    </w:div>
    <w:div w:id="527446231">
      <w:bodyDiv w:val="1"/>
      <w:marLeft w:val="0"/>
      <w:marRight w:val="0"/>
      <w:marTop w:val="0"/>
      <w:marBottom w:val="0"/>
      <w:divBdr>
        <w:top w:val="none" w:sz="0" w:space="0" w:color="auto"/>
        <w:left w:val="none" w:sz="0" w:space="0" w:color="auto"/>
        <w:bottom w:val="none" w:sz="0" w:space="0" w:color="auto"/>
        <w:right w:val="none" w:sz="0" w:space="0" w:color="auto"/>
      </w:divBdr>
    </w:div>
    <w:div w:id="530385693">
      <w:bodyDiv w:val="1"/>
      <w:marLeft w:val="0"/>
      <w:marRight w:val="0"/>
      <w:marTop w:val="0"/>
      <w:marBottom w:val="0"/>
      <w:divBdr>
        <w:top w:val="none" w:sz="0" w:space="0" w:color="auto"/>
        <w:left w:val="none" w:sz="0" w:space="0" w:color="auto"/>
        <w:bottom w:val="none" w:sz="0" w:space="0" w:color="auto"/>
        <w:right w:val="none" w:sz="0" w:space="0" w:color="auto"/>
      </w:divBdr>
    </w:div>
    <w:div w:id="556356825">
      <w:bodyDiv w:val="1"/>
      <w:marLeft w:val="0"/>
      <w:marRight w:val="0"/>
      <w:marTop w:val="0"/>
      <w:marBottom w:val="0"/>
      <w:divBdr>
        <w:top w:val="none" w:sz="0" w:space="0" w:color="auto"/>
        <w:left w:val="none" w:sz="0" w:space="0" w:color="auto"/>
        <w:bottom w:val="none" w:sz="0" w:space="0" w:color="auto"/>
        <w:right w:val="none" w:sz="0" w:space="0" w:color="auto"/>
      </w:divBdr>
    </w:div>
    <w:div w:id="563757656">
      <w:bodyDiv w:val="1"/>
      <w:marLeft w:val="0"/>
      <w:marRight w:val="0"/>
      <w:marTop w:val="0"/>
      <w:marBottom w:val="0"/>
      <w:divBdr>
        <w:top w:val="none" w:sz="0" w:space="0" w:color="auto"/>
        <w:left w:val="none" w:sz="0" w:space="0" w:color="auto"/>
        <w:bottom w:val="none" w:sz="0" w:space="0" w:color="auto"/>
        <w:right w:val="none" w:sz="0" w:space="0" w:color="auto"/>
      </w:divBdr>
    </w:div>
    <w:div w:id="573703532">
      <w:bodyDiv w:val="1"/>
      <w:marLeft w:val="0"/>
      <w:marRight w:val="0"/>
      <w:marTop w:val="0"/>
      <w:marBottom w:val="0"/>
      <w:divBdr>
        <w:top w:val="none" w:sz="0" w:space="0" w:color="auto"/>
        <w:left w:val="none" w:sz="0" w:space="0" w:color="auto"/>
        <w:bottom w:val="none" w:sz="0" w:space="0" w:color="auto"/>
        <w:right w:val="none" w:sz="0" w:space="0" w:color="auto"/>
      </w:divBdr>
    </w:div>
    <w:div w:id="627011389">
      <w:bodyDiv w:val="1"/>
      <w:marLeft w:val="0"/>
      <w:marRight w:val="0"/>
      <w:marTop w:val="0"/>
      <w:marBottom w:val="0"/>
      <w:divBdr>
        <w:top w:val="none" w:sz="0" w:space="0" w:color="auto"/>
        <w:left w:val="none" w:sz="0" w:space="0" w:color="auto"/>
        <w:bottom w:val="none" w:sz="0" w:space="0" w:color="auto"/>
        <w:right w:val="none" w:sz="0" w:space="0" w:color="auto"/>
      </w:divBdr>
    </w:div>
    <w:div w:id="627591313">
      <w:bodyDiv w:val="1"/>
      <w:marLeft w:val="0"/>
      <w:marRight w:val="0"/>
      <w:marTop w:val="0"/>
      <w:marBottom w:val="0"/>
      <w:divBdr>
        <w:top w:val="none" w:sz="0" w:space="0" w:color="auto"/>
        <w:left w:val="none" w:sz="0" w:space="0" w:color="auto"/>
        <w:bottom w:val="none" w:sz="0" w:space="0" w:color="auto"/>
        <w:right w:val="none" w:sz="0" w:space="0" w:color="auto"/>
      </w:divBdr>
    </w:div>
    <w:div w:id="668823689">
      <w:bodyDiv w:val="1"/>
      <w:marLeft w:val="0"/>
      <w:marRight w:val="0"/>
      <w:marTop w:val="0"/>
      <w:marBottom w:val="0"/>
      <w:divBdr>
        <w:top w:val="none" w:sz="0" w:space="0" w:color="auto"/>
        <w:left w:val="none" w:sz="0" w:space="0" w:color="auto"/>
        <w:bottom w:val="none" w:sz="0" w:space="0" w:color="auto"/>
        <w:right w:val="none" w:sz="0" w:space="0" w:color="auto"/>
      </w:divBdr>
    </w:div>
    <w:div w:id="670136175">
      <w:bodyDiv w:val="1"/>
      <w:marLeft w:val="0"/>
      <w:marRight w:val="0"/>
      <w:marTop w:val="0"/>
      <w:marBottom w:val="0"/>
      <w:divBdr>
        <w:top w:val="none" w:sz="0" w:space="0" w:color="auto"/>
        <w:left w:val="none" w:sz="0" w:space="0" w:color="auto"/>
        <w:bottom w:val="none" w:sz="0" w:space="0" w:color="auto"/>
        <w:right w:val="none" w:sz="0" w:space="0" w:color="auto"/>
      </w:divBdr>
    </w:div>
    <w:div w:id="683898516">
      <w:bodyDiv w:val="1"/>
      <w:marLeft w:val="0"/>
      <w:marRight w:val="0"/>
      <w:marTop w:val="0"/>
      <w:marBottom w:val="0"/>
      <w:divBdr>
        <w:top w:val="none" w:sz="0" w:space="0" w:color="auto"/>
        <w:left w:val="none" w:sz="0" w:space="0" w:color="auto"/>
        <w:bottom w:val="none" w:sz="0" w:space="0" w:color="auto"/>
        <w:right w:val="none" w:sz="0" w:space="0" w:color="auto"/>
      </w:divBdr>
    </w:div>
    <w:div w:id="701709263">
      <w:bodyDiv w:val="1"/>
      <w:marLeft w:val="0"/>
      <w:marRight w:val="0"/>
      <w:marTop w:val="0"/>
      <w:marBottom w:val="0"/>
      <w:divBdr>
        <w:top w:val="none" w:sz="0" w:space="0" w:color="auto"/>
        <w:left w:val="none" w:sz="0" w:space="0" w:color="auto"/>
        <w:bottom w:val="none" w:sz="0" w:space="0" w:color="auto"/>
        <w:right w:val="none" w:sz="0" w:space="0" w:color="auto"/>
      </w:divBdr>
    </w:div>
    <w:div w:id="707871483">
      <w:bodyDiv w:val="1"/>
      <w:marLeft w:val="0"/>
      <w:marRight w:val="0"/>
      <w:marTop w:val="0"/>
      <w:marBottom w:val="0"/>
      <w:divBdr>
        <w:top w:val="none" w:sz="0" w:space="0" w:color="auto"/>
        <w:left w:val="none" w:sz="0" w:space="0" w:color="auto"/>
        <w:bottom w:val="none" w:sz="0" w:space="0" w:color="auto"/>
        <w:right w:val="none" w:sz="0" w:space="0" w:color="auto"/>
      </w:divBdr>
    </w:div>
    <w:div w:id="714306284">
      <w:bodyDiv w:val="1"/>
      <w:marLeft w:val="0"/>
      <w:marRight w:val="0"/>
      <w:marTop w:val="0"/>
      <w:marBottom w:val="0"/>
      <w:divBdr>
        <w:top w:val="none" w:sz="0" w:space="0" w:color="auto"/>
        <w:left w:val="none" w:sz="0" w:space="0" w:color="auto"/>
        <w:bottom w:val="none" w:sz="0" w:space="0" w:color="auto"/>
        <w:right w:val="none" w:sz="0" w:space="0" w:color="auto"/>
      </w:divBdr>
    </w:div>
    <w:div w:id="714887541">
      <w:bodyDiv w:val="1"/>
      <w:marLeft w:val="0"/>
      <w:marRight w:val="0"/>
      <w:marTop w:val="0"/>
      <w:marBottom w:val="0"/>
      <w:divBdr>
        <w:top w:val="none" w:sz="0" w:space="0" w:color="auto"/>
        <w:left w:val="none" w:sz="0" w:space="0" w:color="auto"/>
        <w:bottom w:val="none" w:sz="0" w:space="0" w:color="auto"/>
        <w:right w:val="none" w:sz="0" w:space="0" w:color="auto"/>
      </w:divBdr>
    </w:div>
    <w:div w:id="758909130">
      <w:bodyDiv w:val="1"/>
      <w:marLeft w:val="0"/>
      <w:marRight w:val="0"/>
      <w:marTop w:val="0"/>
      <w:marBottom w:val="0"/>
      <w:divBdr>
        <w:top w:val="none" w:sz="0" w:space="0" w:color="auto"/>
        <w:left w:val="none" w:sz="0" w:space="0" w:color="auto"/>
        <w:bottom w:val="none" w:sz="0" w:space="0" w:color="auto"/>
        <w:right w:val="none" w:sz="0" w:space="0" w:color="auto"/>
      </w:divBdr>
    </w:div>
    <w:div w:id="762071540">
      <w:bodyDiv w:val="1"/>
      <w:marLeft w:val="0"/>
      <w:marRight w:val="0"/>
      <w:marTop w:val="0"/>
      <w:marBottom w:val="0"/>
      <w:divBdr>
        <w:top w:val="none" w:sz="0" w:space="0" w:color="auto"/>
        <w:left w:val="none" w:sz="0" w:space="0" w:color="auto"/>
        <w:bottom w:val="none" w:sz="0" w:space="0" w:color="auto"/>
        <w:right w:val="none" w:sz="0" w:space="0" w:color="auto"/>
      </w:divBdr>
    </w:div>
    <w:div w:id="770048737">
      <w:bodyDiv w:val="1"/>
      <w:marLeft w:val="0"/>
      <w:marRight w:val="0"/>
      <w:marTop w:val="0"/>
      <w:marBottom w:val="0"/>
      <w:divBdr>
        <w:top w:val="none" w:sz="0" w:space="0" w:color="auto"/>
        <w:left w:val="none" w:sz="0" w:space="0" w:color="auto"/>
        <w:bottom w:val="none" w:sz="0" w:space="0" w:color="auto"/>
        <w:right w:val="none" w:sz="0" w:space="0" w:color="auto"/>
      </w:divBdr>
    </w:div>
    <w:div w:id="781920475">
      <w:bodyDiv w:val="1"/>
      <w:marLeft w:val="0"/>
      <w:marRight w:val="0"/>
      <w:marTop w:val="0"/>
      <w:marBottom w:val="0"/>
      <w:divBdr>
        <w:top w:val="none" w:sz="0" w:space="0" w:color="auto"/>
        <w:left w:val="none" w:sz="0" w:space="0" w:color="auto"/>
        <w:bottom w:val="none" w:sz="0" w:space="0" w:color="auto"/>
        <w:right w:val="none" w:sz="0" w:space="0" w:color="auto"/>
      </w:divBdr>
    </w:div>
    <w:div w:id="787743141">
      <w:bodyDiv w:val="1"/>
      <w:marLeft w:val="0"/>
      <w:marRight w:val="0"/>
      <w:marTop w:val="0"/>
      <w:marBottom w:val="0"/>
      <w:divBdr>
        <w:top w:val="none" w:sz="0" w:space="0" w:color="auto"/>
        <w:left w:val="none" w:sz="0" w:space="0" w:color="auto"/>
        <w:bottom w:val="none" w:sz="0" w:space="0" w:color="auto"/>
        <w:right w:val="none" w:sz="0" w:space="0" w:color="auto"/>
      </w:divBdr>
    </w:div>
    <w:div w:id="792291290">
      <w:bodyDiv w:val="1"/>
      <w:marLeft w:val="0"/>
      <w:marRight w:val="0"/>
      <w:marTop w:val="0"/>
      <w:marBottom w:val="0"/>
      <w:divBdr>
        <w:top w:val="none" w:sz="0" w:space="0" w:color="auto"/>
        <w:left w:val="none" w:sz="0" w:space="0" w:color="auto"/>
        <w:bottom w:val="none" w:sz="0" w:space="0" w:color="auto"/>
        <w:right w:val="none" w:sz="0" w:space="0" w:color="auto"/>
      </w:divBdr>
    </w:div>
    <w:div w:id="797333646">
      <w:bodyDiv w:val="1"/>
      <w:marLeft w:val="0"/>
      <w:marRight w:val="0"/>
      <w:marTop w:val="0"/>
      <w:marBottom w:val="0"/>
      <w:divBdr>
        <w:top w:val="none" w:sz="0" w:space="0" w:color="auto"/>
        <w:left w:val="none" w:sz="0" w:space="0" w:color="auto"/>
        <w:bottom w:val="none" w:sz="0" w:space="0" w:color="auto"/>
        <w:right w:val="none" w:sz="0" w:space="0" w:color="auto"/>
      </w:divBdr>
    </w:div>
    <w:div w:id="815411057">
      <w:bodyDiv w:val="1"/>
      <w:marLeft w:val="0"/>
      <w:marRight w:val="0"/>
      <w:marTop w:val="0"/>
      <w:marBottom w:val="0"/>
      <w:divBdr>
        <w:top w:val="none" w:sz="0" w:space="0" w:color="auto"/>
        <w:left w:val="none" w:sz="0" w:space="0" w:color="auto"/>
        <w:bottom w:val="none" w:sz="0" w:space="0" w:color="auto"/>
        <w:right w:val="none" w:sz="0" w:space="0" w:color="auto"/>
      </w:divBdr>
    </w:div>
    <w:div w:id="824665283">
      <w:bodyDiv w:val="1"/>
      <w:marLeft w:val="0"/>
      <w:marRight w:val="0"/>
      <w:marTop w:val="0"/>
      <w:marBottom w:val="0"/>
      <w:divBdr>
        <w:top w:val="none" w:sz="0" w:space="0" w:color="auto"/>
        <w:left w:val="none" w:sz="0" w:space="0" w:color="auto"/>
        <w:bottom w:val="none" w:sz="0" w:space="0" w:color="auto"/>
        <w:right w:val="none" w:sz="0" w:space="0" w:color="auto"/>
      </w:divBdr>
    </w:div>
    <w:div w:id="828860246">
      <w:bodyDiv w:val="1"/>
      <w:marLeft w:val="0"/>
      <w:marRight w:val="0"/>
      <w:marTop w:val="0"/>
      <w:marBottom w:val="0"/>
      <w:divBdr>
        <w:top w:val="none" w:sz="0" w:space="0" w:color="auto"/>
        <w:left w:val="none" w:sz="0" w:space="0" w:color="auto"/>
        <w:bottom w:val="none" w:sz="0" w:space="0" w:color="auto"/>
        <w:right w:val="none" w:sz="0" w:space="0" w:color="auto"/>
      </w:divBdr>
    </w:div>
    <w:div w:id="829911261">
      <w:bodyDiv w:val="1"/>
      <w:marLeft w:val="0"/>
      <w:marRight w:val="0"/>
      <w:marTop w:val="0"/>
      <w:marBottom w:val="0"/>
      <w:divBdr>
        <w:top w:val="none" w:sz="0" w:space="0" w:color="auto"/>
        <w:left w:val="none" w:sz="0" w:space="0" w:color="auto"/>
        <w:bottom w:val="none" w:sz="0" w:space="0" w:color="auto"/>
        <w:right w:val="none" w:sz="0" w:space="0" w:color="auto"/>
      </w:divBdr>
    </w:div>
    <w:div w:id="845441955">
      <w:bodyDiv w:val="1"/>
      <w:marLeft w:val="0"/>
      <w:marRight w:val="0"/>
      <w:marTop w:val="0"/>
      <w:marBottom w:val="0"/>
      <w:divBdr>
        <w:top w:val="none" w:sz="0" w:space="0" w:color="auto"/>
        <w:left w:val="none" w:sz="0" w:space="0" w:color="auto"/>
        <w:bottom w:val="none" w:sz="0" w:space="0" w:color="auto"/>
        <w:right w:val="none" w:sz="0" w:space="0" w:color="auto"/>
      </w:divBdr>
    </w:div>
    <w:div w:id="866215104">
      <w:bodyDiv w:val="1"/>
      <w:marLeft w:val="0"/>
      <w:marRight w:val="0"/>
      <w:marTop w:val="0"/>
      <w:marBottom w:val="0"/>
      <w:divBdr>
        <w:top w:val="none" w:sz="0" w:space="0" w:color="auto"/>
        <w:left w:val="none" w:sz="0" w:space="0" w:color="auto"/>
        <w:bottom w:val="none" w:sz="0" w:space="0" w:color="auto"/>
        <w:right w:val="none" w:sz="0" w:space="0" w:color="auto"/>
      </w:divBdr>
    </w:div>
    <w:div w:id="888539608">
      <w:bodyDiv w:val="1"/>
      <w:marLeft w:val="0"/>
      <w:marRight w:val="0"/>
      <w:marTop w:val="0"/>
      <w:marBottom w:val="0"/>
      <w:divBdr>
        <w:top w:val="none" w:sz="0" w:space="0" w:color="auto"/>
        <w:left w:val="none" w:sz="0" w:space="0" w:color="auto"/>
        <w:bottom w:val="none" w:sz="0" w:space="0" w:color="auto"/>
        <w:right w:val="none" w:sz="0" w:space="0" w:color="auto"/>
      </w:divBdr>
    </w:div>
    <w:div w:id="906453539">
      <w:bodyDiv w:val="1"/>
      <w:marLeft w:val="0"/>
      <w:marRight w:val="0"/>
      <w:marTop w:val="0"/>
      <w:marBottom w:val="0"/>
      <w:divBdr>
        <w:top w:val="none" w:sz="0" w:space="0" w:color="auto"/>
        <w:left w:val="none" w:sz="0" w:space="0" w:color="auto"/>
        <w:bottom w:val="none" w:sz="0" w:space="0" w:color="auto"/>
        <w:right w:val="none" w:sz="0" w:space="0" w:color="auto"/>
      </w:divBdr>
    </w:div>
    <w:div w:id="914627566">
      <w:bodyDiv w:val="1"/>
      <w:marLeft w:val="0"/>
      <w:marRight w:val="0"/>
      <w:marTop w:val="0"/>
      <w:marBottom w:val="0"/>
      <w:divBdr>
        <w:top w:val="none" w:sz="0" w:space="0" w:color="auto"/>
        <w:left w:val="none" w:sz="0" w:space="0" w:color="auto"/>
        <w:bottom w:val="none" w:sz="0" w:space="0" w:color="auto"/>
        <w:right w:val="none" w:sz="0" w:space="0" w:color="auto"/>
      </w:divBdr>
    </w:div>
    <w:div w:id="943221140">
      <w:bodyDiv w:val="1"/>
      <w:marLeft w:val="0"/>
      <w:marRight w:val="0"/>
      <w:marTop w:val="0"/>
      <w:marBottom w:val="0"/>
      <w:divBdr>
        <w:top w:val="none" w:sz="0" w:space="0" w:color="auto"/>
        <w:left w:val="none" w:sz="0" w:space="0" w:color="auto"/>
        <w:bottom w:val="none" w:sz="0" w:space="0" w:color="auto"/>
        <w:right w:val="none" w:sz="0" w:space="0" w:color="auto"/>
      </w:divBdr>
    </w:div>
    <w:div w:id="944581277">
      <w:bodyDiv w:val="1"/>
      <w:marLeft w:val="0"/>
      <w:marRight w:val="0"/>
      <w:marTop w:val="0"/>
      <w:marBottom w:val="0"/>
      <w:divBdr>
        <w:top w:val="none" w:sz="0" w:space="0" w:color="auto"/>
        <w:left w:val="none" w:sz="0" w:space="0" w:color="auto"/>
        <w:bottom w:val="none" w:sz="0" w:space="0" w:color="auto"/>
        <w:right w:val="none" w:sz="0" w:space="0" w:color="auto"/>
      </w:divBdr>
    </w:div>
    <w:div w:id="965546058">
      <w:bodyDiv w:val="1"/>
      <w:marLeft w:val="0"/>
      <w:marRight w:val="0"/>
      <w:marTop w:val="0"/>
      <w:marBottom w:val="0"/>
      <w:divBdr>
        <w:top w:val="none" w:sz="0" w:space="0" w:color="auto"/>
        <w:left w:val="none" w:sz="0" w:space="0" w:color="auto"/>
        <w:bottom w:val="none" w:sz="0" w:space="0" w:color="auto"/>
        <w:right w:val="none" w:sz="0" w:space="0" w:color="auto"/>
      </w:divBdr>
    </w:div>
    <w:div w:id="981930413">
      <w:bodyDiv w:val="1"/>
      <w:marLeft w:val="0"/>
      <w:marRight w:val="0"/>
      <w:marTop w:val="0"/>
      <w:marBottom w:val="0"/>
      <w:divBdr>
        <w:top w:val="none" w:sz="0" w:space="0" w:color="auto"/>
        <w:left w:val="none" w:sz="0" w:space="0" w:color="auto"/>
        <w:bottom w:val="none" w:sz="0" w:space="0" w:color="auto"/>
        <w:right w:val="none" w:sz="0" w:space="0" w:color="auto"/>
      </w:divBdr>
    </w:div>
    <w:div w:id="983003827">
      <w:bodyDiv w:val="1"/>
      <w:marLeft w:val="0"/>
      <w:marRight w:val="0"/>
      <w:marTop w:val="0"/>
      <w:marBottom w:val="0"/>
      <w:divBdr>
        <w:top w:val="none" w:sz="0" w:space="0" w:color="auto"/>
        <w:left w:val="none" w:sz="0" w:space="0" w:color="auto"/>
        <w:bottom w:val="none" w:sz="0" w:space="0" w:color="auto"/>
        <w:right w:val="none" w:sz="0" w:space="0" w:color="auto"/>
      </w:divBdr>
    </w:div>
    <w:div w:id="997809132">
      <w:bodyDiv w:val="1"/>
      <w:marLeft w:val="0"/>
      <w:marRight w:val="0"/>
      <w:marTop w:val="0"/>
      <w:marBottom w:val="0"/>
      <w:divBdr>
        <w:top w:val="none" w:sz="0" w:space="0" w:color="auto"/>
        <w:left w:val="none" w:sz="0" w:space="0" w:color="auto"/>
        <w:bottom w:val="none" w:sz="0" w:space="0" w:color="auto"/>
        <w:right w:val="none" w:sz="0" w:space="0" w:color="auto"/>
      </w:divBdr>
    </w:div>
    <w:div w:id="998196822">
      <w:bodyDiv w:val="1"/>
      <w:marLeft w:val="0"/>
      <w:marRight w:val="0"/>
      <w:marTop w:val="0"/>
      <w:marBottom w:val="0"/>
      <w:divBdr>
        <w:top w:val="none" w:sz="0" w:space="0" w:color="auto"/>
        <w:left w:val="none" w:sz="0" w:space="0" w:color="auto"/>
        <w:bottom w:val="none" w:sz="0" w:space="0" w:color="auto"/>
        <w:right w:val="none" w:sz="0" w:space="0" w:color="auto"/>
      </w:divBdr>
    </w:div>
    <w:div w:id="1002733551">
      <w:bodyDiv w:val="1"/>
      <w:marLeft w:val="0"/>
      <w:marRight w:val="0"/>
      <w:marTop w:val="0"/>
      <w:marBottom w:val="0"/>
      <w:divBdr>
        <w:top w:val="none" w:sz="0" w:space="0" w:color="auto"/>
        <w:left w:val="none" w:sz="0" w:space="0" w:color="auto"/>
        <w:bottom w:val="none" w:sz="0" w:space="0" w:color="auto"/>
        <w:right w:val="none" w:sz="0" w:space="0" w:color="auto"/>
      </w:divBdr>
    </w:div>
    <w:div w:id="1010303941">
      <w:bodyDiv w:val="1"/>
      <w:marLeft w:val="0"/>
      <w:marRight w:val="0"/>
      <w:marTop w:val="0"/>
      <w:marBottom w:val="0"/>
      <w:divBdr>
        <w:top w:val="none" w:sz="0" w:space="0" w:color="auto"/>
        <w:left w:val="none" w:sz="0" w:space="0" w:color="auto"/>
        <w:bottom w:val="none" w:sz="0" w:space="0" w:color="auto"/>
        <w:right w:val="none" w:sz="0" w:space="0" w:color="auto"/>
      </w:divBdr>
    </w:div>
    <w:div w:id="1020618651">
      <w:bodyDiv w:val="1"/>
      <w:marLeft w:val="0"/>
      <w:marRight w:val="0"/>
      <w:marTop w:val="0"/>
      <w:marBottom w:val="0"/>
      <w:divBdr>
        <w:top w:val="none" w:sz="0" w:space="0" w:color="auto"/>
        <w:left w:val="none" w:sz="0" w:space="0" w:color="auto"/>
        <w:bottom w:val="none" w:sz="0" w:space="0" w:color="auto"/>
        <w:right w:val="none" w:sz="0" w:space="0" w:color="auto"/>
      </w:divBdr>
    </w:div>
    <w:div w:id="1032459679">
      <w:bodyDiv w:val="1"/>
      <w:marLeft w:val="0"/>
      <w:marRight w:val="0"/>
      <w:marTop w:val="0"/>
      <w:marBottom w:val="0"/>
      <w:divBdr>
        <w:top w:val="none" w:sz="0" w:space="0" w:color="auto"/>
        <w:left w:val="none" w:sz="0" w:space="0" w:color="auto"/>
        <w:bottom w:val="none" w:sz="0" w:space="0" w:color="auto"/>
        <w:right w:val="none" w:sz="0" w:space="0" w:color="auto"/>
      </w:divBdr>
    </w:div>
    <w:div w:id="1042292759">
      <w:bodyDiv w:val="1"/>
      <w:marLeft w:val="0"/>
      <w:marRight w:val="0"/>
      <w:marTop w:val="0"/>
      <w:marBottom w:val="0"/>
      <w:divBdr>
        <w:top w:val="none" w:sz="0" w:space="0" w:color="auto"/>
        <w:left w:val="none" w:sz="0" w:space="0" w:color="auto"/>
        <w:bottom w:val="none" w:sz="0" w:space="0" w:color="auto"/>
        <w:right w:val="none" w:sz="0" w:space="0" w:color="auto"/>
      </w:divBdr>
    </w:div>
    <w:div w:id="1082221990">
      <w:bodyDiv w:val="1"/>
      <w:marLeft w:val="0"/>
      <w:marRight w:val="0"/>
      <w:marTop w:val="0"/>
      <w:marBottom w:val="0"/>
      <w:divBdr>
        <w:top w:val="none" w:sz="0" w:space="0" w:color="auto"/>
        <w:left w:val="none" w:sz="0" w:space="0" w:color="auto"/>
        <w:bottom w:val="none" w:sz="0" w:space="0" w:color="auto"/>
        <w:right w:val="none" w:sz="0" w:space="0" w:color="auto"/>
      </w:divBdr>
    </w:div>
    <w:div w:id="1087768873">
      <w:bodyDiv w:val="1"/>
      <w:marLeft w:val="0"/>
      <w:marRight w:val="0"/>
      <w:marTop w:val="0"/>
      <w:marBottom w:val="0"/>
      <w:divBdr>
        <w:top w:val="none" w:sz="0" w:space="0" w:color="auto"/>
        <w:left w:val="none" w:sz="0" w:space="0" w:color="auto"/>
        <w:bottom w:val="none" w:sz="0" w:space="0" w:color="auto"/>
        <w:right w:val="none" w:sz="0" w:space="0" w:color="auto"/>
      </w:divBdr>
    </w:div>
    <w:div w:id="1090932927">
      <w:bodyDiv w:val="1"/>
      <w:marLeft w:val="0"/>
      <w:marRight w:val="0"/>
      <w:marTop w:val="0"/>
      <w:marBottom w:val="0"/>
      <w:divBdr>
        <w:top w:val="none" w:sz="0" w:space="0" w:color="auto"/>
        <w:left w:val="none" w:sz="0" w:space="0" w:color="auto"/>
        <w:bottom w:val="none" w:sz="0" w:space="0" w:color="auto"/>
        <w:right w:val="none" w:sz="0" w:space="0" w:color="auto"/>
      </w:divBdr>
    </w:div>
    <w:div w:id="1095708004">
      <w:bodyDiv w:val="1"/>
      <w:marLeft w:val="0"/>
      <w:marRight w:val="0"/>
      <w:marTop w:val="0"/>
      <w:marBottom w:val="0"/>
      <w:divBdr>
        <w:top w:val="none" w:sz="0" w:space="0" w:color="auto"/>
        <w:left w:val="none" w:sz="0" w:space="0" w:color="auto"/>
        <w:bottom w:val="none" w:sz="0" w:space="0" w:color="auto"/>
        <w:right w:val="none" w:sz="0" w:space="0" w:color="auto"/>
      </w:divBdr>
    </w:div>
    <w:div w:id="1098135737">
      <w:bodyDiv w:val="1"/>
      <w:marLeft w:val="0"/>
      <w:marRight w:val="0"/>
      <w:marTop w:val="0"/>
      <w:marBottom w:val="0"/>
      <w:divBdr>
        <w:top w:val="none" w:sz="0" w:space="0" w:color="auto"/>
        <w:left w:val="none" w:sz="0" w:space="0" w:color="auto"/>
        <w:bottom w:val="none" w:sz="0" w:space="0" w:color="auto"/>
        <w:right w:val="none" w:sz="0" w:space="0" w:color="auto"/>
      </w:divBdr>
    </w:div>
    <w:div w:id="1102412255">
      <w:bodyDiv w:val="1"/>
      <w:marLeft w:val="0"/>
      <w:marRight w:val="0"/>
      <w:marTop w:val="0"/>
      <w:marBottom w:val="0"/>
      <w:divBdr>
        <w:top w:val="none" w:sz="0" w:space="0" w:color="auto"/>
        <w:left w:val="none" w:sz="0" w:space="0" w:color="auto"/>
        <w:bottom w:val="none" w:sz="0" w:space="0" w:color="auto"/>
        <w:right w:val="none" w:sz="0" w:space="0" w:color="auto"/>
      </w:divBdr>
    </w:div>
    <w:div w:id="1103305391">
      <w:bodyDiv w:val="1"/>
      <w:marLeft w:val="0"/>
      <w:marRight w:val="0"/>
      <w:marTop w:val="0"/>
      <w:marBottom w:val="0"/>
      <w:divBdr>
        <w:top w:val="none" w:sz="0" w:space="0" w:color="auto"/>
        <w:left w:val="none" w:sz="0" w:space="0" w:color="auto"/>
        <w:bottom w:val="none" w:sz="0" w:space="0" w:color="auto"/>
        <w:right w:val="none" w:sz="0" w:space="0" w:color="auto"/>
      </w:divBdr>
    </w:div>
    <w:div w:id="1122263646">
      <w:bodyDiv w:val="1"/>
      <w:marLeft w:val="0"/>
      <w:marRight w:val="0"/>
      <w:marTop w:val="0"/>
      <w:marBottom w:val="0"/>
      <w:divBdr>
        <w:top w:val="none" w:sz="0" w:space="0" w:color="auto"/>
        <w:left w:val="none" w:sz="0" w:space="0" w:color="auto"/>
        <w:bottom w:val="none" w:sz="0" w:space="0" w:color="auto"/>
        <w:right w:val="none" w:sz="0" w:space="0" w:color="auto"/>
      </w:divBdr>
    </w:div>
    <w:div w:id="1149176719">
      <w:bodyDiv w:val="1"/>
      <w:marLeft w:val="0"/>
      <w:marRight w:val="0"/>
      <w:marTop w:val="0"/>
      <w:marBottom w:val="0"/>
      <w:divBdr>
        <w:top w:val="none" w:sz="0" w:space="0" w:color="auto"/>
        <w:left w:val="none" w:sz="0" w:space="0" w:color="auto"/>
        <w:bottom w:val="none" w:sz="0" w:space="0" w:color="auto"/>
        <w:right w:val="none" w:sz="0" w:space="0" w:color="auto"/>
      </w:divBdr>
    </w:div>
    <w:div w:id="1164125823">
      <w:bodyDiv w:val="1"/>
      <w:marLeft w:val="0"/>
      <w:marRight w:val="0"/>
      <w:marTop w:val="0"/>
      <w:marBottom w:val="0"/>
      <w:divBdr>
        <w:top w:val="none" w:sz="0" w:space="0" w:color="auto"/>
        <w:left w:val="none" w:sz="0" w:space="0" w:color="auto"/>
        <w:bottom w:val="none" w:sz="0" w:space="0" w:color="auto"/>
        <w:right w:val="none" w:sz="0" w:space="0" w:color="auto"/>
      </w:divBdr>
    </w:div>
    <w:div w:id="1170490557">
      <w:bodyDiv w:val="1"/>
      <w:marLeft w:val="0"/>
      <w:marRight w:val="0"/>
      <w:marTop w:val="0"/>
      <w:marBottom w:val="0"/>
      <w:divBdr>
        <w:top w:val="none" w:sz="0" w:space="0" w:color="auto"/>
        <w:left w:val="none" w:sz="0" w:space="0" w:color="auto"/>
        <w:bottom w:val="none" w:sz="0" w:space="0" w:color="auto"/>
        <w:right w:val="none" w:sz="0" w:space="0" w:color="auto"/>
      </w:divBdr>
    </w:div>
    <w:div w:id="1187215157">
      <w:bodyDiv w:val="1"/>
      <w:marLeft w:val="0"/>
      <w:marRight w:val="0"/>
      <w:marTop w:val="0"/>
      <w:marBottom w:val="0"/>
      <w:divBdr>
        <w:top w:val="none" w:sz="0" w:space="0" w:color="auto"/>
        <w:left w:val="none" w:sz="0" w:space="0" w:color="auto"/>
        <w:bottom w:val="none" w:sz="0" w:space="0" w:color="auto"/>
        <w:right w:val="none" w:sz="0" w:space="0" w:color="auto"/>
      </w:divBdr>
    </w:div>
    <w:div w:id="1241865617">
      <w:bodyDiv w:val="1"/>
      <w:marLeft w:val="0"/>
      <w:marRight w:val="0"/>
      <w:marTop w:val="0"/>
      <w:marBottom w:val="0"/>
      <w:divBdr>
        <w:top w:val="none" w:sz="0" w:space="0" w:color="auto"/>
        <w:left w:val="none" w:sz="0" w:space="0" w:color="auto"/>
        <w:bottom w:val="none" w:sz="0" w:space="0" w:color="auto"/>
        <w:right w:val="none" w:sz="0" w:space="0" w:color="auto"/>
      </w:divBdr>
    </w:div>
    <w:div w:id="1248267752">
      <w:bodyDiv w:val="1"/>
      <w:marLeft w:val="0"/>
      <w:marRight w:val="0"/>
      <w:marTop w:val="0"/>
      <w:marBottom w:val="0"/>
      <w:divBdr>
        <w:top w:val="none" w:sz="0" w:space="0" w:color="auto"/>
        <w:left w:val="none" w:sz="0" w:space="0" w:color="auto"/>
        <w:bottom w:val="none" w:sz="0" w:space="0" w:color="auto"/>
        <w:right w:val="none" w:sz="0" w:space="0" w:color="auto"/>
      </w:divBdr>
    </w:div>
    <w:div w:id="1268587604">
      <w:bodyDiv w:val="1"/>
      <w:marLeft w:val="0"/>
      <w:marRight w:val="0"/>
      <w:marTop w:val="0"/>
      <w:marBottom w:val="0"/>
      <w:divBdr>
        <w:top w:val="none" w:sz="0" w:space="0" w:color="auto"/>
        <w:left w:val="none" w:sz="0" w:space="0" w:color="auto"/>
        <w:bottom w:val="none" w:sz="0" w:space="0" w:color="auto"/>
        <w:right w:val="none" w:sz="0" w:space="0" w:color="auto"/>
      </w:divBdr>
    </w:div>
    <w:div w:id="1269199994">
      <w:bodyDiv w:val="1"/>
      <w:marLeft w:val="0"/>
      <w:marRight w:val="0"/>
      <w:marTop w:val="0"/>
      <w:marBottom w:val="0"/>
      <w:divBdr>
        <w:top w:val="none" w:sz="0" w:space="0" w:color="auto"/>
        <w:left w:val="none" w:sz="0" w:space="0" w:color="auto"/>
        <w:bottom w:val="none" w:sz="0" w:space="0" w:color="auto"/>
        <w:right w:val="none" w:sz="0" w:space="0" w:color="auto"/>
      </w:divBdr>
    </w:div>
    <w:div w:id="1278412037">
      <w:bodyDiv w:val="1"/>
      <w:marLeft w:val="0"/>
      <w:marRight w:val="0"/>
      <w:marTop w:val="0"/>
      <w:marBottom w:val="0"/>
      <w:divBdr>
        <w:top w:val="none" w:sz="0" w:space="0" w:color="auto"/>
        <w:left w:val="none" w:sz="0" w:space="0" w:color="auto"/>
        <w:bottom w:val="none" w:sz="0" w:space="0" w:color="auto"/>
        <w:right w:val="none" w:sz="0" w:space="0" w:color="auto"/>
      </w:divBdr>
    </w:div>
    <w:div w:id="1298803619">
      <w:bodyDiv w:val="1"/>
      <w:marLeft w:val="0"/>
      <w:marRight w:val="0"/>
      <w:marTop w:val="0"/>
      <w:marBottom w:val="0"/>
      <w:divBdr>
        <w:top w:val="none" w:sz="0" w:space="0" w:color="auto"/>
        <w:left w:val="none" w:sz="0" w:space="0" w:color="auto"/>
        <w:bottom w:val="none" w:sz="0" w:space="0" w:color="auto"/>
        <w:right w:val="none" w:sz="0" w:space="0" w:color="auto"/>
      </w:divBdr>
    </w:div>
    <w:div w:id="1300644834">
      <w:bodyDiv w:val="1"/>
      <w:marLeft w:val="0"/>
      <w:marRight w:val="0"/>
      <w:marTop w:val="0"/>
      <w:marBottom w:val="0"/>
      <w:divBdr>
        <w:top w:val="none" w:sz="0" w:space="0" w:color="auto"/>
        <w:left w:val="none" w:sz="0" w:space="0" w:color="auto"/>
        <w:bottom w:val="none" w:sz="0" w:space="0" w:color="auto"/>
        <w:right w:val="none" w:sz="0" w:space="0" w:color="auto"/>
      </w:divBdr>
    </w:div>
    <w:div w:id="1302727827">
      <w:bodyDiv w:val="1"/>
      <w:marLeft w:val="0"/>
      <w:marRight w:val="0"/>
      <w:marTop w:val="0"/>
      <w:marBottom w:val="0"/>
      <w:divBdr>
        <w:top w:val="none" w:sz="0" w:space="0" w:color="auto"/>
        <w:left w:val="none" w:sz="0" w:space="0" w:color="auto"/>
        <w:bottom w:val="none" w:sz="0" w:space="0" w:color="auto"/>
        <w:right w:val="none" w:sz="0" w:space="0" w:color="auto"/>
      </w:divBdr>
    </w:div>
    <w:div w:id="1304040803">
      <w:bodyDiv w:val="1"/>
      <w:marLeft w:val="0"/>
      <w:marRight w:val="0"/>
      <w:marTop w:val="0"/>
      <w:marBottom w:val="0"/>
      <w:divBdr>
        <w:top w:val="none" w:sz="0" w:space="0" w:color="auto"/>
        <w:left w:val="none" w:sz="0" w:space="0" w:color="auto"/>
        <w:bottom w:val="none" w:sz="0" w:space="0" w:color="auto"/>
        <w:right w:val="none" w:sz="0" w:space="0" w:color="auto"/>
      </w:divBdr>
    </w:div>
    <w:div w:id="1306735197">
      <w:bodyDiv w:val="1"/>
      <w:marLeft w:val="0"/>
      <w:marRight w:val="0"/>
      <w:marTop w:val="0"/>
      <w:marBottom w:val="0"/>
      <w:divBdr>
        <w:top w:val="none" w:sz="0" w:space="0" w:color="auto"/>
        <w:left w:val="none" w:sz="0" w:space="0" w:color="auto"/>
        <w:bottom w:val="none" w:sz="0" w:space="0" w:color="auto"/>
        <w:right w:val="none" w:sz="0" w:space="0" w:color="auto"/>
      </w:divBdr>
    </w:div>
    <w:div w:id="1321155469">
      <w:bodyDiv w:val="1"/>
      <w:marLeft w:val="0"/>
      <w:marRight w:val="0"/>
      <w:marTop w:val="0"/>
      <w:marBottom w:val="0"/>
      <w:divBdr>
        <w:top w:val="none" w:sz="0" w:space="0" w:color="auto"/>
        <w:left w:val="none" w:sz="0" w:space="0" w:color="auto"/>
        <w:bottom w:val="none" w:sz="0" w:space="0" w:color="auto"/>
        <w:right w:val="none" w:sz="0" w:space="0" w:color="auto"/>
      </w:divBdr>
    </w:div>
    <w:div w:id="1342854892">
      <w:bodyDiv w:val="1"/>
      <w:marLeft w:val="0"/>
      <w:marRight w:val="0"/>
      <w:marTop w:val="0"/>
      <w:marBottom w:val="0"/>
      <w:divBdr>
        <w:top w:val="none" w:sz="0" w:space="0" w:color="auto"/>
        <w:left w:val="none" w:sz="0" w:space="0" w:color="auto"/>
        <w:bottom w:val="none" w:sz="0" w:space="0" w:color="auto"/>
        <w:right w:val="none" w:sz="0" w:space="0" w:color="auto"/>
      </w:divBdr>
    </w:div>
    <w:div w:id="1345935887">
      <w:bodyDiv w:val="1"/>
      <w:marLeft w:val="0"/>
      <w:marRight w:val="0"/>
      <w:marTop w:val="0"/>
      <w:marBottom w:val="0"/>
      <w:divBdr>
        <w:top w:val="none" w:sz="0" w:space="0" w:color="auto"/>
        <w:left w:val="none" w:sz="0" w:space="0" w:color="auto"/>
        <w:bottom w:val="none" w:sz="0" w:space="0" w:color="auto"/>
        <w:right w:val="none" w:sz="0" w:space="0" w:color="auto"/>
      </w:divBdr>
    </w:div>
    <w:div w:id="1347562984">
      <w:bodyDiv w:val="1"/>
      <w:marLeft w:val="0"/>
      <w:marRight w:val="0"/>
      <w:marTop w:val="0"/>
      <w:marBottom w:val="0"/>
      <w:divBdr>
        <w:top w:val="none" w:sz="0" w:space="0" w:color="auto"/>
        <w:left w:val="none" w:sz="0" w:space="0" w:color="auto"/>
        <w:bottom w:val="none" w:sz="0" w:space="0" w:color="auto"/>
        <w:right w:val="none" w:sz="0" w:space="0" w:color="auto"/>
      </w:divBdr>
    </w:div>
    <w:div w:id="1348020714">
      <w:bodyDiv w:val="1"/>
      <w:marLeft w:val="0"/>
      <w:marRight w:val="0"/>
      <w:marTop w:val="0"/>
      <w:marBottom w:val="0"/>
      <w:divBdr>
        <w:top w:val="none" w:sz="0" w:space="0" w:color="auto"/>
        <w:left w:val="none" w:sz="0" w:space="0" w:color="auto"/>
        <w:bottom w:val="none" w:sz="0" w:space="0" w:color="auto"/>
        <w:right w:val="none" w:sz="0" w:space="0" w:color="auto"/>
      </w:divBdr>
    </w:div>
    <w:div w:id="1349872384">
      <w:bodyDiv w:val="1"/>
      <w:marLeft w:val="0"/>
      <w:marRight w:val="0"/>
      <w:marTop w:val="0"/>
      <w:marBottom w:val="0"/>
      <w:divBdr>
        <w:top w:val="none" w:sz="0" w:space="0" w:color="auto"/>
        <w:left w:val="none" w:sz="0" w:space="0" w:color="auto"/>
        <w:bottom w:val="none" w:sz="0" w:space="0" w:color="auto"/>
        <w:right w:val="none" w:sz="0" w:space="0" w:color="auto"/>
      </w:divBdr>
    </w:div>
    <w:div w:id="1358850912">
      <w:bodyDiv w:val="1"/>
      <w:marLeft w:val="0"/>
      <w:marRight w:val="0"/>
      <w:marTop w:val="0"/>
      <w:marBottom w:val="0"/>
      <w:divBdr>
        <w:top w:val="none" w:sz="0" w:space="0" w:color="auto"/>
        <w:left w:val="none" w:sz="0" w:space="0" w:color="auto"/>
        <w:bottom w:val="none" w:sz="0" w:space="0" w:color="auto"/>
        <w:right w:val="none" w:sz="0" w:space="0" w:color="auto"/>
      </w:divBdr>
    </w:div>
    <w:div w:id="1368410204">
      <w:bodyDiv w:val="1"/>
      <w:marLeft w:val="0"/>
      <w:marRight w:val="0"/>
      <w:marTop w:val="0"/>
      <w:marBottom w:val="0"/>
      <w:divBdr>
        <w:top w:val="none" w:sz="0" w:space="0" w:color="auto"/>
        <w:left w:val="none" w:sz="0" w:space="0" w:color="auto"/>
        <w:bottom w:val="none" w:sz="0" w:space="0" w:color="auto"/>
        <w:right w:val="none" w:sz="0" w:space="0" w:color="auto"/>
      </w:divBdr>
    </w:div>
    <w:div w:id="1390111001">
      <w:bodyDiv w:val="1"/>
      <w:marLeft w:val="0"/>
      <w:marRight w:val="0"/>
      <w:marTop w:val="0"/>
      <w:marBottom w:val="0"/>
      <w:divBdr>
        <w:top w:val="none" w:sz="0" w:space="0" w:color="auto"/>
        <w:left w:val="none" w:sz="0" w:space="0" w:color="auto"/>
        <w:bottom w:val="none" w:sz="0" w:space="0" w:color="auto"/>
        <w:right w:val="none" w:sz="0" w:space="0" w:color="auto"/>
      </w:divBdr>
    </w:div>
    <w:div w:id="1391347813">
      <w:bodyDiv w:val="1"/>
      <w:marLeft w:val="0"/>
      <w:marRight w:val="0"/>
      <w:marTop w:val="0"/>
      <w:marBottom w:val="0"/>
      <w:divBdr>
        <w:top w:val="none" w:sz="0" w:space="0" w:color="auto"/>
        <w:left w:val="none" w:sz="0" w:space="0" w:color="auto"/>
        <w:bottom w:val="none" w:sz="0" w:space="0" w:color="auto"/>
        <w:right w:val="none" w:sz="0" w:space="0" w:color="auto"/>
      </w:divBdr>
    </w:div>
    <w:div w:id="1410887722">
      <w:bodyDiv w:val="1"/>
      <w:marLeft w:val="0"/>
      <w:marRight w:val="0"/>
      <w:marTop w:val="0"/>
      <w:marBottom w:val="0"/>
      <w:divBdr>
        <w:top w:val="none" w:sz="0" w:space="0" w:color="auto"/>
        <w:left w:val="none" w:sz="0" w:space="0" w:color="auto"/>
        <w:bottom w:val="none" w:sz="0" w:space="0" w:color="auto"/>
        <w:right w:val="none" w:sz="0" w:space="0" w:color="auto"/>
      </w:divBdr>
    </w:div>
    <w:div w:id="1427339941">
      <w:bodyDiv w:val="1"/>
      <w:marLeft w:val="0"/>
      <w:marRight w:val="0"/>
      <w:marTop w:val="0"/>
      <w:marBottom w:val="0"/>
      <w:divBdr>
        <w:top w:val="none" w:sz="0" w:space="0" w:color="auto"/>
        <w:left w:val="none" w:sz="0" w:space="0" w:color="auto"/>
        <w:bottom w:val="none" w:sz="0" w:space="0" w:color="auto"/>
        <w:right w:val="none" w:sz="0" w:space="0" w:color="auto"/>
      </w:divBdr>
    </w:div>
    <w:div w:id="1433161047">
      <w:bodyDiv w:val="1"/>
      <w:marLeft w:val="0"/>
      <w:marRight w:val="0"/>
      <w:marTop w:val="0"/>
      <w:marBottom w:val="0"/>
      <w:divBdr>
        <w:top w:val="none" w:sz="0" w:space="0" w:color="auto"/>
        <w:left w:val="none" w:sz="0" w:space="0" w:color="auto"/>
        <w:bottom w:val="none" w:sz="0" w:space="0" w:color="auto"/>
        <w:right w:val="none" w:sz="0" w:space="0" w:color="auto"/>
      </w:divBdr>
    </w:div>
    <w:div w:id="1433890271">
      <w:bodyDiv w:val="1"/>
      <w:marLeft w:val="0"/>
      <w:marRight w:val="0"/>
      <w:marTop w:val="0"/>
      <w:marBottom w:val="0"/>
      <w:divBdr>
        <w:top w:val="none" w:sz="0" w:space="0" w:color="auto"/>
        <w:left w:val="none" w:sz="0" w:space="0" w:color="auto"/>
        <w:bottom w:val="none" w:sz="0" w:space="0" w:color="auto"/>
        <w:right w:val="none" w:sz="0" w:space="0" w:color="auto"/>
      </w:divBdr>
    </w:div>
    <w:div w:id="1442991649">
      <w:bodyDiv w:val="1"/>
      <w:marLeft w:val="0"/>
      <w:marRight w:val="0"/>
      <w:marTop w:val="0"/>
      <w:marBottom w:val="0"/>
      <w:divBdr>
        <w:top w:val="none" w:sz="0" w:space="0" w:color="auto"/>
        <w:left w:val="none" w:sz="0" w:space="0" w:color="auto"/>
        <w:bottom w:val="none" w:sz="0" w:space="0" w:color="auto"/>
        <w:right w:val="none" w:sz="0" w:space="0" w:color="auto"/>
      </w:divBdr>
    </w:div>
    <w:div w:id="1467550913">
      <w:bodyDiv w:val="1"/>
      <w:marLeft w:val="0"/>
      <w:marRight w:val="0"/>
      <w:marTop w:val="0"/>
      <w:marBottom w:val="0"/>
      <w:divBdr>
        <w:top w:val="none" w:sz="0" w:space="0" w:color="auto"/>
        <w:left w:val="none" w:sz="0" w:space="0" w:color="auto"/>
        <w:bottom w:val="none" w:sz="0" w:space="0" w:color="auto"/>
        <w:right w:val="none" w:sz="0" w:space="0" w:color="auto"/>
      </w:divBdr>
    </w:div>
    <w:div w:id="1474177732">
      <w:bodyDiv w:val="1"/>
      <w:marLeft w:val="0"/>
      <w:marRight w:val="0"/>
      <w:marTop w:val="0"/>
      <w:marBottom w:val="0"/>
      <w:divBdr>
        <w:top w:val="none" w:sz="0" w:space="0" w:color="auto"/>
        <w:left w:val="none" w:sz="0" w:space="0" w:color="auto"/>
        <w:bottom w:val="none" w:sz="0" w:space="0" w:color="auto"/>
        <w:right w:val="none" w:sz="0" w:space="0" w:color="auto"/>
      </w:divBdr>
    </w:div>
    <w:div w:id="1486357933">
      <w:bodyDiv w:val="1"/>
      <w:marLeft w:val="0"/>
      <w:marRight w:val="0"/>
      <w:marTop w:val="0"/>
      <w:marBottom w:val="0"/>
      <w:divBdr>
        <w:top w:val="none" w:sz="0" w:space="0" w:color="auto"/>
        <w:left w:val="none" w:sz="0" w:space="0" w:color="auto"/>
        <w:bottom w:val="none" w:sz="0" w:space="0" w:color="auto"/>
        <w:right w:val="none" w:sz="0" w:space="0" w:color="auto"/>
      </w:divBdr>
    </w:div>
    <w:div w:id="1494761062">
      <w:bodyDiv w:val="1"/>
      <w:marLeft w:val="0"/>
      <w:marRight w:val="0"/>
      <w:marTop w:val="0"/>
      <w:marBottom w:val="0"/>
      <w:divBdr>
        <w:top w:val="none" w:sz="0" w:space="0" w:color="auto"/>
        <w:left w:val="none" w:sz="0" w:space="0" w:color="auto"/>
        <w:bottom w:val="none" w:sz="0" w:space="0" w:color="auto"/>
        <w:right w:val="none" w:sz="0" w:space="0" w:color="auto"/>
      </w:divBdr>
    </w:div>
    <w:div w:id="1530021889">
      <w:bodyDiv w:val="1"/>
      <w:marLeft w:val="0"/>
      <w:marRight w:val="0"/>
      <w:marTop w:val="0"/>
      <w:marBottom w:val="0"/>
      <w:divBdr>
        <w:top w:val="none" w:sz="0" w:space="0" w:color="auto"/>
        <w:left w:val="none" w:sz="0" w:space="0" w:color="auto"/>
        <w:bottom w:val="none" w:sz="0" w:space="0" w:color="auto"/>
        <w:right w:val="none" w:sz="0" w:space="0" w:color="auto"/>
      </w:divBdr>
    </w:div>
    <w:div w:id="1539708736">
      <w:bodyDiv w:val="1"/>
      <w:marLeft w:val="0"/>
      <w:marRight w:val="0"/>
      <w:marTop w:val="0"/>
      <w:marBottom w:val="0"/>
      <w:divBdr>
        <w:top w:val="none" w:sz="0" w:space="0" w:color="auto"/>
        <w:left w:val="none" w:sz="0" w:space="0" w:color="auto"/>
        <w:bottom w:val="none" w:sz="0" w:space="0" w:color="auto"/>
        <w:right w:val="none" w:sz="0" w:space="0" w:color="auto"/>
      </w:divBdr>
    </w:div>
    <w:div w:id="1549754281">
      <w:bodyDiv w:val="1"/>
      <w:marLeft w:val="0"/>
      <w:marRight w:val="0"/>
      <w:marTop w:val="0"/>
      <w:marBottom w:val="0"/>
      <w:divBdr>
        <w:top w:val="none" w:sz="0" w:space="0" w:color="auto"/>
        <w:left w:val="none" w:sz="0" w:space="0" w:color="auto"/>
        <w:bottom w:val="none" w:sz="0" w:space="0" w:color="auto"/>
        <w:right w:val="none" w:sz="0" w:space="0" w:color="auto"/>
      </w:divBdr>
    </w:div>
    <w:div w:id="1556046094">
      <w:bodyDiv w:val="1"/>
      <w:marLeft w:val="0"/>
      <w:marRight w:val="0"/>
      <w:marTop w:val="0"/>
      <w:marBottom w:val="0"/>
      <w:divBdr>
        <w:top w:val="none" w:sz="0" w:space="0" w:color="auto"/>
        <w:left w:val="none" w:sz="0" w:space="0" w:color="auto"/>
        <w:bottom w:val="none" w:sz="0" w:space="0" w:color="auto"/>
        <w:right w:val="none" w:sz="0" w:space="0" w:color="auto"/>
      </w:divBdr>
    </w:div>
    <w:div w:id="1565991156">
      <w:bodyDiv w:val="1"/>
      <w:marLeft w:val="0"/>
      <w:marRight w:val="0"/>
      <w:marTop w:val="0"/>
      <w:marBottom w:val="0"/>
      <w:divBdr>
        <w:top w:val="none" w:sz="0" w:space="0" w:color="auto"/>
        <w:left w:val="none" w:sz="0" w:space="0" w:color="auto"/>
        <w:bottom w:val="none" w:sz="0" w:space="0" w:color="auto"/>
        <w:right w:val="none" w:sz="0" w:space="0" w:color="auto"/>
      </w:divBdr>
    </w:div>
    <w:div w:id="1571571447">
      <w:bodyDiv w:val="1"/>
      <w:marLeft w:val="0"/>
      <w:marRight w:val="0"/>
      <w:marTop w:val="0"/>
      <w:marBottom w:val="0"/>
      <w:divBdr>
        <w:top w:val="none" w:sz="0" w:space="0" w:color="auto"/>
        <w:left w:val="none" w:sz="0" w:space="0" w:color="auto"/>
        <w:bottom w:val="none" w:sz="0" w:space="0" w:color="auto"/>
        <w:right w:val="none" w:sz="0" w:space="0" w:color="auto"/>
      </w:divBdr>
    </w:div>
    <w:div w:id="1576280906">
      <w:bodyDiv w:val="1"/>
      <w:marLeft w:val="0"/>
      <w:marRight w:val="0"/>
      <w:marTop w:val="0"/>
      <w:marBottom w:val="0"/>
      <w:divBdr>
        <w:top w:val="none" w:sz="0" w:space="0" w:color="auto"/>
        <w:left w:val="none" w:sz="0" w:space="0" w:color="auto"/>
        <w:bottom w:val="none" w:sz="0" w:space="0" w:color="auto"/>
        <w:right w:val="none" w:sz="0" w:space="0" w:color="auto"/>
      </w:divBdr>
    </w:div>
    <w:div w:id="1590966695">
      <w:bodyDiv w:val="1"/>
      <w:marLeft w:val="0"/>
      <w:marRight w:val="0"/>
      <w:marTop w:val="0"/>
      <w:marBottom w:val="0"/>
      <w:divBdr>
        <w:top w:val="none" w:sz="0" w:space="0" w:color="auto"/>
        <w:left w:val="none" w:sz="0" w:space="0" w:color="auto"/>
        <w:bottom w:val="none" w:sz="0" w:space="0" w:color="auto"/>
        <w:right w:val="none" w:sz="0" w:space="0" w:color="auto"/>
      </w:divBdr>
    </w:div>
    <w:div w:id="1598370413">
      <w:bodyDiv w:val="1"/>
      <w:marLeft w:val="0"/>
      <w:marRight w:val="0"/>
      <w:marTop w:val="0"/>
      <w:marBottom w:val="0"/>
      <w:divBdr>
        <w:top w:val="none" w:sz="0" w:space="0" w:color="auto"/>
        <w:left w:val="none" w:sz="0" w:space="0" w:color="auto"/>
        <w:bottom w:val="none" w:sz="0" w:space="0" w:color="auto"/>
        <w:right w:val="none" w:sz="0" w:space="0" w:color="auto"/>
      </w:divBdr>
    </w:div>
    <w:div w:id="1630088279">
      <w:bodyDiv w:val="1"/>
      <w:marLeft w:val="0"/>
      <w:marRight w:val="0"/>
      <w:marTop w:val="0"/>
      <w:marBottom w:val="0"/>
      <w:divBdr>
        <w:top w:val="none" w:sz="0" w:space="0" w:color="auto"/>
        <w:left w:val="none" w:sz="0" w:space="0" w:color="auto"/>
        <w:bottom w:val="none" w:sz="0" w:space="0" w:color="auto"/>
        <w:right w:val="none" w:sz="0" w:space="0" w:color="auto"/>
      </w:divBdr>
    </w:div>
    <w:div w:id="1647203112">
      <w:bodyDiv w:val="1"/>
      <w:marLeft w:val="0"/>
      <w:marRight w:val="0"/>
      <w:marTop w:val="0"/>
      <w:marBottom w:val="0"/>
      <w:divBdr>
        <w:top w:val="none" w:sz="0" w:space="0" w:color="auto"/>
        <w:left w:val="none" w:sz="0" w:space="0" w:color="auto"/>
        <w:bottom w:val="none" w:sz="0" w:space="0" w:color="auto"/>
        <w:right w:val="none" w:sz="0" w:space="0" w:color="auto"/>
      </w:divBdr>
    </w:div>
    <w:div w:id="1653018386">
      <w:bodyDiv w:val="1"/>
      <w:marLeft w:val="0"/>
      <w:marRight w:val="0"/>
      <w:marTop w:val="0"/>
      <w:marBottom w:val="0"/>
      <w:divBdr>
        <w:top w:val="none" w:sz="0" w:space="0" w:color="auto"/>
        <w:left w:val="none" w:sz="0" w:space="0" w:color="auto"/>
        <w:bottom w:val="none" w:sz="0" w:space="0" w:color="auto"/>
        <w:right w:val="none" w:sz="0" w:space="0" w:color="auto"/>
      </w:divBdr>
    </w:div>
    <w:div w:id="1655183345">
      <w:bodyDiv w:val="1"/>
      <w:marLeft w:val="0"/>
      <w:marRight w:val="0"/>
      <w:marTop w:val="0"/>
      <w:marBottom w:val="0"/>
      <w:divBdr>
        <w:top w:val="none" w:sz="0" w:space="0" w:color="auto"/>
        <w:left w:val="none" w:sz="0" w:space="0" w:color="auto"/>
        <w:bottom w:val="none" w:sz="0" w:space="0" w:color="auto"/>
        <w:right w:val="none" w:sz="0" w:space="0" w:color="auto"/>
      </w:divBdr>
    </w:div>
    <w:div w:id="1663772400">
      <w:bodyDiv w:val="1"/>
      <w:marLeft w:val="0"/>
      <w:marRight w:val="0"/>
      <w:marTop w:val="0"/>
      <w:marBottom w:val="0"/>
      <w:divBdr>
        <w:top w:val="none" w:sz="0" w:space="0" w:color="auto"/>
        <w:left w:val="none" w:sz="0" w:space="0" w:color="auto"/>
        <w:bottom w:val="none" w:sz="0" w:space="0" w:color="auto"/>
        <w:right w:val="none" w:sz="0" w:space="0" w:color="auto"/>
      </w:divBdr>
    </w:div>
    <w:div w:id="1666475937">
      <w:bodyDiv w:val="1"/>
      <w:marLeft w:val="0"/>
      <w:marRight w:val="0"/>
      <w:marTop w:val="0"/>
      <w:marBottom w:val="0"/>
      <w:divBdr>
        <w:top w:val="none" w:sz="0" w:space="0" w:color="auto"/>
        <w:left w:val="none" w:sz="0" w:space="0" w:color="auto"/>
        <w:bottom w:val="none" w:sz="0" w:space="0" w:color="auto"/>
        <w:right w:val="none" w:sz="0" w:space="0" w:color="auto"/>
      </w:divBdr>
    </w:div>
    <w:div w:id="1668702990">
      <w:bodyDiv w:val="1"/>
      <w:marLeft w:val="0"/>
      <w:marRight w:val="0"/>
      <w:marTop w:val="0"/>
      <w:marBottom w:val="0"/>
      <w:divBdr>
        <w:top w:val="none" w:sz="0" w:space="0" w:color="auto"/>
        <w:left w:val="none" w:sz="0" w:space="0" w:color="auto"/>
        <w:bottom w:val="none" w:sz="0" w:space="0" w:color="auto"/>
        <w:right w:val="none" w:sz="0" w:space="0" w:color="auto"/>
      </w:divBdr>
    </w:div>
    <w:div w:id="1697462743">
      <w:bodyDiv w:val="1"/>
      <w:marLeft w:val="0"/>
      <w:marRight w:val="0"/>
      <w:marTop w:val="0"/>
      <w:marBottom w:val="0"/>
      <w:divBdr>
        <w:top w:val="none" w:sz="0" w:space="0" w:color="auto"/>
        <w:left w:val="none" w:sz="0" w:space="0" w:color="auto"/>
        <w:bottom w:val="none" w:sz="0" w:space="0" w:color="auto"/>
        <w:right w:val="none" w:sz="0" w:space="0" w:color="auto"/>
      </w:divBdr>
    </w:div>
    <w:div w:id="1699546639">
      <w:bodyDiv w:val="1"/>
      <w:marLeft w:val="0"/>
      <w:marRight w:val="0"/>
      <w:marTop w:val="0"/>
      <w:marBottom w:val="0"/>
      <w:divBdr>
        <w:top w:val="none" w:sz="0" w:space="0" w:color="auto"/>
        <w:left w:val="none" w:sz="0" w:space="0" w:color="auto"/>
        <w:bottom w:val="none" w:sz="0" w:space="0" w:color="auto"/>
        <w:right w:val="none" w:sz="0" w:space="0" w:color="auto"/>
      </w:divBdr>
    </w:div>
    <w:div w:id="1709986690">
      <w:bodyDiv w:val="1"/>
      <w:marLeft w:val="0"/>
      <w:marRight w:val="0"/>
      <w:marTop w:val="0"/>
      <w:marBottom w:val="0"/>
      <w:divBdr>
        <w:top w:val="none" w:sz="0" w:space="0" w:color="auto"/>
        <w:left w:val="none" w:sz="0" w:space="0" w:color="auto"/>
        <w:bottom w:val="none" w:sz="0" w:space="0" w:color="auto"/>
        <w:right w:val="none" w:sz="0" w:space="0" w:color="auto"/>
      </w:divBdr>
    </w:div>
    <w:div w:id="1713192486">
      <w:bodyDiv w:val="1"/>
      <w:marLeft w:val="0"/>
      <w:marRight w:val="0"/>
      <w:marTop w:val="0"/>
      <w:marBottom w:val="0"/>
      <w:divBdr>
        <w:top w:val="none" w:sz="0" w:space="0" w:color="auto"/>
        <w:left w:val="none" w:sz="0" w:space="0" w:color="auto"/>
        <w:bottom w:val="none" w:sz="0" w:space="0" w:color="auto"/>
        <w:right w:val="none" w:sz="0" w:space="0" w:color="auto"/>
      </w:divBdr>
    </w:div>
    <w:div w:id="1714846138">
      <w:bodyDiv w:val="1"/>
      <w:marLeft w:val="0"/>
      <w:marRight w:val="0"/>
      <w:marTop w:val="0"/>
      <w:marBottom w:val="0"/>
      <w:divBdr>
        <w:top w:val="none" w:sz="0" w:space="0" w:color="auto"/>
        <w:left w:val="none" w:sz="0" w:space="0" w:color="auto"/>
        <w:bottom w:val="none" w:sz="0" w:space="0" w:color="auto"/>
        <w:right w:val="none" w:sz="0" w:space="0" w:color="auto"/>
      </w:divBdr>
    </w:div>
    <w:div w:id="1730420867">
      <w:bodyDiv w:val="1"/>
      <w:marLeft w:val="0"/>
      <w:marRight w:val="0"/>
      <w:marTop w:val="0"/>
      <w:marBottom w:val="0"/>
      <w:divBdr>
        <w:top w:val="none" w:sz="0" w:space="0" w:color="auto"/>
        <w:left w:val="none" w:sz="0" w:space="0" w:color="auto"/>
        <w:bottom w:val="none" w:sz="0" w:space="0" w:color="auto"/>
        <w:right w:val="none" w:sz="0" w:space="0" w:color="auto"/>
      </w:divBdr>
    </w:div>
    <w:div w:id="1734547172">
      <w:bodyDiv w:val="1"/>
      <w:marLeft w:val="0"/>
      <w:marRight w:val="0"/>
      <w:marTop w:val="0"/>
      <w:marBottom w:val="0"/>
      <w:divBdr>
        <w:top w:val="none" w:sz="0" w:space="0" w:color="auto"/>
        <w:left w:val="none" w:sz="0" w:space="0" w:color="auto"/>
        <w:bottom w:val="none" w:sz="0" w:space="0" w:color="auto"/>
        <w:right w:val="none" w:sz="0" w:space="0" w:color="auto"/>
      </w:divBdr>
    </w:div>
    <w:div w:id="1740126975">
      <w:bodyDiv w:val="1"/>
      <w:marLeft w:val="0"/>
      <w:marRight w:val="0"/>
      <w:marTop w:val="0"/>
      <w:marBottom w:val="0"/>
      <w:divBdr>
        <w:top w:val="none" w:sz="0" w:space="0" w:color="auto"/>
        <w:left w:val="none" w:sz="0" w:space="0" w:color="auto"/>
        <w:bottom w:val="none" w:sz="0" w:space="0" w:color="auto"/>
        <w:right w:val="none" w:sz="0" w:space="0" w:color="auto"/>
      </w:divBdr>
    </w:div>
    <w:div w:id="1749619895">
      <w:bodyDiv w:val="1"/>
      <w:marLeft w:val="0"/>
      <w:marRight w:val="0"/>
      <w:marTop w:val="0"/>
      <w:marBottom w:val="0"/>
      <w:divBdr>
        <w:top w:val="none" w:sz="0" w:space="0" w:color="auto"/>
        <w:left w:val="none" w:sz="0" w:space="0" w:color="auto"/>
        <w:bottom w:val="none" w:sz="0" w:space="0" w:color="auto"/>
        <w:right w:val="none" w:sz="0" w:space="0" w:color="auto"/>
      </w:divBdr>
    </w:div>
    <w:div w:id="1754811353">
      <w:bodyDiv w:val="1"/>
      <w:marLeft w:val="0"/>
      <w:marRight w:val="0"/>
      <w:marTop w:val="0"/>
      <w:marBottom w:val="0"/>
      <w:divBdr>
        <w:top w:val="none" w:sz="0" w:space="0" w:color="auto"/>
        <w:left w:val="none" w:sz="0" w:space="0" w:color="auto"/>
        <w:bottom w:val="none" w:sz="0" w:space="0" w:color="auto"/>
        <w:right w:val="none" w:sz="0" w:space="0" w:color="auto"/>
      </w:divBdr>
    </w:div>
    <w:div w:id="1754887035">
      <w:bodyDiv w:val="1"/>
      <w:marLeft w:val="0"/>
      <w:marRight w:val="0"/>
      <w:marTop w:val="0"/>
      <w:marBottom w:val="0"/>
      <w:divBdr>
        <w:top w:val="none" w:sz="0" w:space="0" w:color="auto"/>
        <w:left w:val="none" w:sz="0" w:space="0" w:color="auto"/>
        <w:bottom w:val="none" w:sz="0" w:space="0" w:color="auto"/>
        <w:right w:val="none" w:sz="0" w:space="0" w:color="auto"/>
      </w:divBdr>
    </w:div>
    <w:div w:id="1768765226">
      <w:bodyDiv w:val="1"/>
      <w:marLeft w:val="0"/>
      <w:marRight w:val="0"/>
      <w:marTop w:val="0"/>
      <w:marBottom w:val="0"/>
      <w:divBdr>
        <w:top w:val="none" w:sz="0" w:space="0" w:color="auto"/>
        <w:left w:val="none" w:sz="0" w:space="0" w:color="auto"/>
        <w:bottom w:val="none" w:sz="0" w:space="0" w:color="auto"/>
        <w:right w:val="none" w:sz="0" w:space="0" w:color="auto"/>
      </w:divBdr>
    </w:div>
    <w:div w:id="1773285316">
      <w:bodyDiv w:val="1"/>
      <w:marLeft w:val="0"/>
      <w:marRight w:val="0"/>
      <w:marTop w:val="0"/>
      <w:marBottom w:val="0"/>
      <w:divBdr>
        <w:top w:val="none" w:sz="0" w:space="0" w:color="auto"/>
        <w:left w:val="none" w:sz="0" w:space="0" w:color="auto"/>
        <w:bottom w:val="none" w:sz="0" w:space="0" w:color="auto"/>
        <w:right w:val="none" w:sz="0" w:space="0" w:color="auto"/>
      </w:divBdr>
    </w:div>
    <w:div w:id="1781608574">
      <w:bodyDiv w:val="1"/>
      <w:marLeft w:val="0"/>
      <w:marRight w:val="0"/>
      <w:marTop w:val="0"/>
      <w:marBottom w:val="0"/>
      <w:divBdr>
        <w:top w:val="none" w:sz="0" w:space="0" w:color="auto"/>
        <w:left w:val="none" w:sz="0" w:space="0" w:color="auto"/>
        <w:bottom w:val="none" w:sz="0" w:space="0" w:color="auto"/>
        <w:right w:val="none" w:sz="0" w:space="0" w:color="auto"/>
      </w:divBdr>
    </w:div>
    <w:div w:id="1791624052">
      <w:bodyDiv w:val="1"/>
      <w:marLeft w:val="0"/>
      <w:marRight w:val="0"/>
      <w:marTop w:val="0"/>
      <w:marBottom w:val="0"/>
      <w:divBdr>
        <w:top w:val="none" w:sz="0" w:space="0" w:color="auto"/>
        <w:left w:val="none" w:sz="0" w:space="0" w:color="auto"/>
        <w:bottom w:val="none" w:sz="0" w:space="0" w:color="auto"/>
        <w:right w:val="none" w:sz="0" w:space="0" w:color="auto"/>
      </w:divBdr>
    </w:div>
    <w:div w:id="1816295890">
      <w:bodyDiv w:val="1"/>
      <w:marLeft w:val="0"/>
      <w:marRight w:val="0"/>
      <w:marTop w:val="0"/>
      <w:marBottom w:val="0"/>
      <w:divBdr>
        <w:top w:val="none" w:sz="0" w:space="0" w:color="auto"/>
        <w:left w:val="none" w:sz="0" w:space="0" w:color="auto"/>
        <w:bottom w:val="none" w:sz="0" w:space="0" w:color="auto"/>
        <w:right w:val="none" w:sz="0" w:space="0" w:color="auto"/>
      </w:divBdr>
    </w:div>
    <w:div w:id="1826702799">
      <w:bodyDiv w:val="1"/>
      <w:marLeft w:val="0"/>
      <w:marRight w:val="0"/>
      <w:marTop w:val="0"/>
      <w:marBottom w:val="0"/>
      <w:divBdr>
        <w:top w:val="none" w:sz="0" w:space="0" w:color="auto"/>
        <w:left w:val="none" w:sz="0" w:space="0" w:color="auto"/>
        <w:bottom w:val="none" w:sz="0" w:space="0" w:color="auto"/>
        <w:right w:val="none" w:sz="0" w:space="0" w:color="auto"/>
      </w:divBdr>
    </w:div>
    <w:div w:id="1836453322">
      <w:bodyDiv w:val="1"/>
      <w:marLeft w:val="0"/>
      <w:marRight w:val="0"/>
      <w:marTop w:val="0"/>
      <w:marBottom w:val="0"/>
      <w:divBdr>
        <w:top w:val="none" w:sz="0" w:space="0" w:color="auto"/>
        <w:left w:val="none" w:sz="0" w:space="0" w:color="auto"/>
        <w:bottom w:val="none" w:sz="0" w:space="0" w:color="auto"/>
        <w:right w:val="none" w:sz="0" w:space="0" w:color="auto"/>
      </w:divBdr>
    </w:div>
    <w:div w:id="1842890514">
      <w:bodyDiv w:val="1"/>
      <w:marLeft w:val="0"/>
      <w:marRight w:val="0"/>
      <w:marTop w:val="0"/>
      <w:marBottom w:val="0"/>
      <w:divBdr>
        <w:top w:val="none" w:sz="0" w:space="0" w:color="auto"/>
        <w:left w:val="none" w:sz="0" w:space="0" w:color="auto"/>
        <w:bottom w:val="none" w:sz="0" w:space="0" w:color="auto"/>
        <w:right w:val="none" w:sz="0" w:space="0" w:color="auto"/>
      </w:divBdr>
    </w:div>
    <w:div w:id="1849976250">
      <w:bodyDiv w:val="1"/>
      <w:marLeft w:val="0"/>
      <w:marRight w:val="0"/>
      <w:marTop w:val="0"/>
      <w:marBottom w:val="0"/>
      <w:divBdr>
        <w:top w:val="none" w:sz="0" w:space="0" w:color="auto"/>
        <w:left w:val="none" w:sz="0" w:space="0" w:color="auto"/>
        <w:bottom w:val="none" w:sz="0" w:space="0" w:color="auto"/>
        <w:right w:val="none" w:sz="0" w:space="0" w:color="auto"/>
      </w:divBdr>
    </w:div>
    <w:div w:id="1853951814">
      <w:bodyDiv w:val="1"/>
      <w:marLeft w:val="0"/>
      <w:marRight w:val="0"/>
      <w:marTop w:val="0"/>
      <w:marBottom w:val="0"/>
      <w:divBdr>
        <w:top w:val="none" w:sz="0" w:space="0" w:color="auto"/>
        <w:left w:val="none" w:sz="0" w:space="0" w:color="auto"/>
        <w:bottom w:val="none" w:sz="0" w:space="0" w:color="auto"/>
        <w:right w:val="none" w:sz="0" w:space="0" w:color="auto"/>
      </w:divBdr>
    </w:div>
    <w:div w:id="1907036210">
      <w:bodyDiv w:val="1"/>
      <w:marLeft w:val="0"/>
      <w:marRight w:val="0"/>
      <w:marTop w:val="0"/>
      <w:marBottom w:val="0"/>
      <w:divBdr>
        <w:top w:val="none" w:sz="0" w:space="0" w:color="auto"/>
        <w:left w:val="none" w:sz="0" w:space="0" w:color="auto"/>
        <w:bottom w:val="none" w:sz="0" w:space="0" w:color="auto"/>
        <w:right w:val="none" w:sz="0" w:space="0" w:color="auto"/>
      </w:divBdr>
    </w:div>
    <w:div w:id="1933515386">
      <w:bodyDiv w:val="1"/>
      <w:marLeft w:val="0"/>
      <w:marRight w:val="0"/>
      <w:marTop w:val="0"/>
      <w:marBottom w:val="0"/>
      <w:divBdr>
        <w:top w:val="none" w:sz="0" w:space="0" w:color="auto"/>
        <w:left w:val="none" w:sz="0" w:space="0" w:color="auto"/>
        <w:bottom w:val="none" w:sz="0" w:space="0" w:color="auto"/>
        <w:right w:val="none" w:sz="0" w:space="0" w:color="auto"/>
      </w:divBdr>
    </w:div>
    <w:div w:id="1936867354">
      <w:bodyDiv w:val="1"/>
      <w:marLeft w:val="0"/>
      <w:marRight w:val="0"/>
      <w:marTop w:val="0"/>
      <w:marBottom w:val="0"/>
      <w:divBdr>
        <w:top w:val="none" w:sz="0" w:space="0" w:color="auto"/>
        <w:left w:val="none" w:sz="0" w:space="0" w:color="auto"/>
        <w:bottom w:val="none" w:sz="0" w:space="0" w:color="auto"/>
        <w:right w:val="none" w:sz="0" w:space="0" w:color="auto"/>
      </w:divBdr>
    </w:div>
    <w:div w:id="1953199246">
      <w:bodyDiv w:val="1"/>
      <w:marLeft w:val="0"/>
      <w:marRight w:val="0"/>
      <w:marTop w:val="0"/>
      <w:marBottom w:val="0"/>
      <w:divBdr>
        <w:top w:val="none" w:sz="0" w:space="0" w:color="auto"/>
        <w:left w:val="none" w:sz="0" w:space="0" w:color="auto"/>
        <w:bottom w:val="none" w:sz="0" w:space="0" w:color="auto"/>
        <w:right w:val="none" w:sz="0" w:space="0" w:color="auto"/>
      </w:divBdr>
    </w:div>
    <w:div w:id="1954366162">
      <w:bodyDiv w:val="1"/>
      <w:marLeft w:val="0"/>
      <w:marRight w:val="0"/>
      <w:marTop w:val="0"/>
      <w:marBottom w:val="0"/>
      <w:divBdr>
        <w:top w:val="none" w:sz="0" w:space="0" w:color="auto"/>
        <w:left w:val="none" w:sz="0" w:space="0" w:color="auto"/>
        <w:bottom w:val="none" w:sz="0" w:space="0" w:color="auto"/>
        <w:right w:val="none" w:sz="0" w:space="0" w:color="auto"/>
      </w:divBdr>
    </w:div>
    <w:div w:id="1962803306">
      <w:bodyDiv w:val="1"/>
      <w:marLeft w:val="0"/>
      <w:marRight w:val="0"/>
      <w:marTop w:val="0"/>
      <w:marBottom w:val="0"/>
      <w:divBdr>
        <w:top w:val="none" w:sz="0" w:space="0" w:color="auto"/>
        <w:left w:val="none" w:sz="0" w:space="0" w:color="auto"/>
        <w:bottom w:val="none" w:sz="0" w:space="0" w:color="auto"/>
        <w:right w:val="none" w:sz="0" w:space="0" w:color="auto"/>
      </w:divBdr>
    </w:div>
    <w:div w:id="1965187345">
      <w:bodyDiv w:val="1"/>
      <w:marLeft w:val="0"/>
      <w:marRight w:val="0"/>
      <w:marTop w:val="0"/>
      <w:marBottom w:val="0"/>
      <w:divBdr>
        <w:top w:val="none" w:sz="0" w:space="0" w:color="auto"/>
        <w:left w:val="none" w:sz="0" w:space="0" w:color="auto"/>
        <w:bottom w:val="none" w:sz="0" w:space="0" w:color="auto"/>
        <w:right w:val="none" w:sz="0" w:space="0" w:color="auto"/>
      </w:divBdr>
    </w:div>
    <w:div w:id="1969968931">
      <w:bodyDiv w:val="1"/>
      <w:marLeft w:val="0"/>
      <w:marRight w:val="0"/>
      <w:marTop w:val="0"/>
      <w:marBottom w:val="0"/>
      <w:divBdr>
        <w:top w:val="none" w:sz="0" w:space="0" w:color="auto"/>
        <w:left w:val="none" w:sz="0" w:space="0" w:color="auto"/>
        <w:bottom w:val="none" w:sz="0" w:space="0" w:color="auto"/>
        <w:right w:val="none" w:sz="0" w:space="0" w:color="auto"/>
      </w:divBdr>
    </w:div>
    <w:div w:id="1976645539">
      <w:bodyDiv w:val="1"/>
      <w:marLeft w:val="0"/>
      <w:marRight w:val="0"/>
      <w:marTop w:val="0"/>
      <w:marBottom w:val="0"/>
      <w:divBdr>
        <w:top w:val="none" w:sz="0" w:space="0" w:color="auto"/>
        <w:left w:val="none" w:sz="0" w:space="0" w:color="auto"/>
        <w:bottom w:val="none" w:sz="0" w:space="0" w:color="auto"/>
        <w:right w:val="none" w:sz="0" w:space="0" w:color="auto"/>
      </w:divBdr>
    </w:div>
    <w:div w:id="1988514056">
      <w:bodyDiv w:val="1"/>
      <w:marLeft w:val="0"/>
      <w:marRight w:val="0"/>
      <w:marTop w:val="0"/>
      <w:marBottom w:val="0"/>
      <w:divBdr>
        <w:top w:val="none" w:sz="0" w:space="0" w:color="auto"/>
        <w:left w:val="none" w:sz="0" w:space="0" w:color="auto"/>
        <w:bottom w:val="none" w:sz="0" w:space="0" w:color="auto"/>
        <w:right w:val="none" w:sz="0" w:space="0" w:color="auto"/>
      </w:divBdr>
    </w:div>
    <w:div w:id="1998918952">
      <w:bodyDiv w:val="1"/>
      <w:marLeft w:val="0"/>
      <w:marRight w:val="0"/>
      <w:marTop w:val="0"/>
      <w:marBottom w:val="0"/>
      <w:divBdr>
        <w:top w:val="none" w:sz="0" w:space="0" w:color="auto"/>
        <w:left w:val="none" w:sz="0" w:space="0" w:color="auto"/>
        <w:bottom w:val="none" w:sz="0" w:space="0" w:color="auto"/>
        <w:right w:val="none" w:sz="0" w:space="0" w:color="auto"/>
      </w:divBdr>
    </w:div>
    <w:div w:id="2009401081">
      <w:bodyDiv w:val="1"/>
      <w:marLeft w:val="0"/>
      <w:marRight w:val="0"/>
      <w:marTop w:val="0"/>
      <w:marBottom w:val="0"/>
      <w:divBdr>
        <w:top w:val="none" w:sz="0" w:space="0" w:color="auto"/>
        <w:left w:val="none" w:sz="0" w:space="0" w:color="auto"/>
        <w:bottom w:val="none" w:sz="0" w:space="0" w:color="auto"/>
        <w:right w:val="none" w:sz="0" w:space="0" w:color="auto"/>
      </w:divBdr>
    </w:div>
    <w:div w:id="2034263042">
      <w:bodyDiv w:val="1"/>
      <w:marLeft w:val="0"/>
      <w:marRight w:val="0"/>
      <w:marTop w:val="0"/>
      <w:marBottom w:val="0"/>
      <w:divBdr>
        <w:top w:val="none" w:sz="0" w:space="0" w:color="auto"/>
        <w:left w:val="none" w:sz="0" w:space="0" w:color="auto"/>
        <w:bottom w:val="none" w:sz="0" w:space="0" w:color="auto"/>
        <w:right w:val="none" w:sz="0" w:space="0" w:color="auto"/>
      </w:divBdr>
    </w:div>
    <w:div w:id="2090495699">
      <w:bodyDiv w:val="1"/>
      <w:marLeft w:val="0"/>
      <w:marRight w:val="0"/>
      <w:marTop w:val="0"/>
      <w:marBottom w:val="0"/>
      <w:divBdr>
        <w:top w:val="none" w:sz="0" w:space="0" w:color="auto"/>
        <w:left w:val="none" w:sz="0" w:space="0" w:color="auto"/>
        <w:bottom w:val="none" w:sz="0" w:space="0" w:color="auto"/>
        <w:right w:val="none" w:sz="0" w:space="0" w:color="auto"/>
      </w:divBdr>
    </w:div>
    <w:div w:id="2094274973">
      <w:bodyDiv w:val="1"/>
      <w:marLeft w:val="0"/>
      <w:marRight w:val="0"/>
      <w:marTop w:val="0"/>
      <w:marBottom w:val="0"/>
      <w:divBdr>
        <w:top w:val="none" w:sz="0" w:space="0" w:color="auto"/>
        <w:left w:val="none" w:sz="0" w:space="0" w:color="auto"/>
        <w:bottom w:val="none" w:sz="0" w:space="0" w:color="auto"/>
        <w:right w:val="none" w:sz="0" w:space="0" w:color="auto"/>
      </w:divBdr>
    </w:div>
    <w:div w:id="2108843936">
      <w:bodyDiv w:val="1"/>
      <w:marLeft w:val="0"/>
      <w:marRight w:val="0"/>
      <w:marTop w:val="0"/>
      <w:marBottom w:val="0"/>
      <w:divBdr>
        <w:top w:val="none" w:sz="0" w:space="0" w:color="auto"/>
        <w:left w:val="none" w:sz="0" w:space="0" w:color="auto"/>
        <w:bottom w:val="none" w:sz="0" w:space="0" w:color="auto"/>
        <w:right w:val="none" w:sz="0" w:space="0" w:color="auto"/>
      </w:divBdr>
    </w:div>
    <w:div w:id="212985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t.edu/faculty-staff/human-resources/benefits/staff-fee-privilege"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hyperlink" Target="http://www.oit.edu/faculty-staff/human-resources/benefits/staff-fee-privilege"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oit.edu/docs/default-source/admissions-documents/deferral-of-application-fee-for-admission.pdf?sfvrsn=2"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335796-8605-47E6-93DC-B318EA24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10833</TotalTime>
  <Pages>52</Pages>
  <Words>14000</Words>
  <Characters>79801</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OSU/CN</Company>
  <LinksUpToDate>false</LinksUpToDate>
  <CharactersWithSpaces>93614</CharactersWithSpaces>
  <SharedDoc>false</SharedDoc>
  <HLinks>
    <vt:vector size="900" baseType="variant">
      <vt:variant>
        <vt:i4>5111899</vt:i4>
      </vt:variant>
      <vt:variant>
        <vt:i4>876</vt:i4>
      </vt:variant>
      <vt:variant>
        <vt:i4>0</vt:i4>
      </vt:variant>
      <vt:variant>
        <vt:i4>5</vt:i4>
      </vt:variant>
      <vt:variant>
        <vt:lpwstr>http://www.ous.edu/dept/hr/benefits/stafffee.php</vt:lpwstr>
      </vt:variant>
      <vt:variant>
        <vt:lpwstr/>
      </vt:variant>
      <vt:variant>
        <vt:i4>5111899</vt:i4>
      </vt:variant>
      <vt:variant>
        <vt:i4>873</vt:i4>
      </vt:variant>
      <vt:variant>
        <vt:i4>0</vt:i4>
      </vt:variant>
      <vt:variant>
        <vt:i4>5</vt:i4>
      </vt:variant>
      <vt:variant>
        <vt:lpwstr>http://www.ous.edu/dept/hr/benefits/stafffee.php</vt:lpwstr>
      </vt:variant>
      <vt:variant>
        <vt:lpwstr/>
      </vt:variant>
      <vt:variant>
        <vt:i4>5111899</vt:i4>
      </vt:variant>
      <vt:variant>
        <vt:i4>870</vt:i4>
      </vt:variant>
      <vt:variant>
        <vt:i4>0</vt:i4>
      </vt:variant>
      <vt:variant>
        <vt:i4>5</vt:i4>
      </vt:variant>
      <vt:variant>
        <vt:lpwstr>http://www.ous.edu/dept/hr/benefits/stafffee.php</vt:lpwstr>
      </vt:variant>
      <vt:variant>
        <vt:lpwstr/>
      </vt:variant>
      <vt:variant>
        <vt:i4>7733300</vt:i4>
      </vt:variant>
      <vt:variant>
        <vt:i4>867</vt:i4>
      </vt:variant>
      <vt:variant>
        <vt:i4>0</vt:i4>
      </vt:variant>
      <vt:variant>
        <vt:i4>5</vt:i4>
      </vt:variant>
      <vt:variant>
        <vt:lpwstr>http://www.ous.edu/stucoun/prospstu/admissions.php</vt:lpwstr>
      </vt:variant>
      <vt:variant>
        <vt:lpwstr/>
      </vt:variant>
      <vt:variant>
        <vt:i4>3539050</vt:i4>
      </vt:variant>
      <vt:variant>
        <vt:i4>864</vt:i4>
      </vt:variant>
      <vt:variant>
        <vt:i4>0</vt:i4>
      </vt:variant>
      <vt:variant>
        <vt:i4>5</vt:i4>
      </vt:variant>
      <vt:variant>
        <vt:lpwstr>http://www.wou.edu/admin/business/tuitioncalc/</vt:lpwstr>
      </vt:variant>
      <vt:variant>
        <vt:lpwstr/>
      </vt:variant>
      <vt:variant>
        <vt:i4>5898312</vt:i4>
      </vt:variant>
      <vt:variant>
        <vt:i4>861</vt:i4>
      </vt:variant>
      <vt:variant>
        <vt:i4>0</vt:i4>
      </vt:variant>
      <vt:variant>
        <vt:i4>5</vt:i4>
      </vt:variant>
      <vt:variant>
        <vt:lpwstr>http://financialaid.uoregon.edu/cost_of_attendance</vt:lpwstr>
      </vt:variant>
      <vt:variant>
        <vt:lpwstr/>
      </vt:variant>
      <vt:variant>
        <vt:i4>6357039</vt:i4>
      </vt:variant>
      <vt:variant>
        <vt:i4>858</vt:i4>
      </vt:variant>
      <vt:variant>
        <vt:i4>0</vt:i4>
      </vt:variant>
      <vt:variant>
        <vt:i4>5</vt:i4>
      </vt:variant>
      <vt:variant>
        <vt:lpwstr>http://www.pdx.edu/finaid/net-price-calculator</vt:lpwstr>
      </vt:variant>
      <vt:variant>
        <vt:lpwstr/>
      </vt:variant>
      <vt:variant>
        <vt:i4>8323109</vt:i4>
      </vt:variant>
      <vt:variant>
        <vt:i4>855</vt:i4>
      </vt:variant>
      <vt:variant>
        <vt:i4>0</vt:i4>
      </vt:variant>
      <vt:variant>
        <vt:i4>5</vt:i4>
      </vt:variant>
      <vt:variant>
        <vt:lpwstr>http://www.osucascades.edu/advising/tuition</vt:lpwstr>
      </vt:variant>
      <vt:variant>
        <vt:lpwstr/>
      </vt:variant>
      <vt:variant>
        <vt:i4>7209022</vt:i4>
      </vt:variant>
      <vt:variant>
        <vt:i4>852</vt:i4>
      </vt:variant>
      <vt:variant>
        <vt:i4>0</vt:i4>
      </vt:variant>
      <vt:variant>
        <vt:i4>5</vt:i4>
      </vt:variant>
      <vt:variant>
        <vt:lpwstr>http://oregonstate.edu/financialaid/cost-attendance</vt:lpwstr>
      </vt:variant>
      <vt:variant>
        <vt:lpwstr/>
      </vt:variant>
      <vt:variant>
        <vt:i4>5177425</vt:i4>
      </vt:variant>
      <vt:variant>
        <vt:i4>849</vt:i4>
      </vt:variant>
      <vt:variant>
        <vt:i4>0</vt:i4>
      </vt:variant>
      <vt:variant>
        <vt:i4>5</vt:i4>
      </vt:variant>
      <vt:variant>
        <vt:lpwstr>http://www.oit.edu/prospective-students/financial-matters/tuition-fees/tuition-fee-calculator</vt:lpwstr>
      </vt:variant>
      <vt:variant>
        <vt:lpwstr/>
      </vt:variant>
      <vt:variant>
        <vt:i4>2097275</vt:i4>
      </vt:variant>
      <vt:variant>
        <vt:i4>846</vt:i4>
      </vt:variant>
      <vt:variant>
        <vt:i4>0</vt:i4>
      </vt:variant>
      <vt:variant>
        <vt:i4>5</vt:i4>
      </vt:variant>
      <vt:variant>
        <vt:lpwstr>http://www.eou.edu/fao/coa/</vt:lpwstr>
      </vt:variant>
      <vt:variant>
        <vt:lpwstr/>
      </vt:variant>
      <vt:variant>
        <vt:i4>1310769</vt:i4>
      </vt:variant>
      <vt:variant>
        <vt:i4>833</vt:i4>
      </vt:variant>
      <vt:variant>
        <vt:i4>0</vt:i4>
      </vt:variant>
      <vt:variant>
        <vt:i4>5</vt:i4>
      </vt:variant>
      <vt:variant>
        <vt:lpwstr/>
      </vt:variant>
      <vt:variant>
        <vt:lpwstr>_Toc332979700</vt:lpwstr>
      </vt:variant>
      <vt:variant>
        <vt:i4>1900592</vt:i4>
      </vt:variant>
      <vt:variant>
        <vt:i4>827</vt:i4>
      </vt:variant>
      <vt:variant>
        <vt:i4>0</vt:i4>
      </vt:variant>
      <vt:variant>
        <vt:i4>5</vt:i4>
      </vt:variant>
      <vt:variant>
        <vt:lpwstr/>
      </vt:variant>
      <vt:variant>
        <vt:lpwstr>_Toc332979699</vt:lpwstr>
      </vt:variant>
      <vt:variant>
        <vt:i4>1900592</vt:i4>
      </vt:variant>
      <vt:variant>
        <vt:i4>821</vt:i4>
      </vt:variant>
      <vt:variant>
        <vt:i4>0</vt:i4>
      </vt:variant>
      <vt:variant>
        <vt:i4>5</vt:i4>
      </vt:variant>
      <vt:variant>
        <vt:lpwstr/>
      </vt:variant>
      <vt:variant>
        <vt:lpwstr>_Toc332979698</vt:lpwstr>
      </vt:variant>
      <vt:variant>
        <vt:i4>1900592</vt:i4>
      </vt:variant>
      <vt:variant>
        <vt:i4>815</vt:i4>
      </vt:variant>
      <vt:variant>
        <vt:i4>0</vt:i4>
      </vt:variant>
      <vt:variant>
        <vt:i4>5</vt:i4>
      </vt:variant>
      <vt:variant>
        <vt:lpwstr/>
      </vt:variant>
      <vt:variant>
        <vt:lpwstr>_Toc332979697</vt:lpwstr>
      </vt:variant>
      <vt:variant>
        <vt:i4>1900592</vt:i4>
      </vt:variant>
      <vt:variant>
        <vt:i4>809</vt:i4>
      </vt:variant>
      <vt:variant>
        <vt:i4>0</vt:i4>
      </vt:variant>
      <vt:variant>
        <vt:i4>5</vt:i4>
      </vt:variant>
      <vt:variant>
        <vt:lpwstr/>
      </vt:variant>
      <vt:variant>
        <vt:lpwstr>_Toc332979696</vt:lpwstr>
      </vt:variant>
      <vt:variant>
        <vt:i4>1900592</vt:i4>
      </vt:variant>
      <vt:variant>
        <vt:i4>803</vt:i4>
      </vt:variant>
      <vt:variant>
        <vt:i4>0</vt:i4>
      </vt:variant>
      <vt:variant>
        <vt:i4>5</vt:i4>
      </vt:variant>
      <vt:variant>
        <vt:lpwstr/>
      </vt:variant>
      <vt:variant>
        <vt:lpwstr>_Toc332979695</vt:lpwstr>
      </vt:variant>
      <vt:variant>
        <vt:i4>1900592</vt:i4>
      </vt:variant>
      <vt:variant>
        <vt:i4>797</vt:i4>
      </vt:variant>
      <vt:variant>
        <vt:i4>0</vt:i4>
      </vt:variant>
      <vt:variant>
        <vt:i4>5</vt:i4>
      </vt:variant>
      <vt:variant>
        <vt:lpwstr/>
      </vt:variant>
      <vt:variant>
        <vt:lpwstr>_Toc332979694</vt:lpwstr>
      </vt:variant>
      <vt:variant>
        <vt:i4>1900592</vt:i4>
      </vt:variant>
      <vt:variant>
        <vt:i4>791</vt:i4>
      </vt:variant>
      <vt:variant>
        <vt:i4>0</vt:i4>
      </vt:variant>
      <vt:variant>
        <vt:i4>5</vt:i4>
      </vt:variant>
      <vt:variant>
        <vt:lpwstr/>
      </vt:variant>
      <vt:variant>
        <vt:lpwstr>_Toc332979693</vt:lpwstr>
      </vt:variant>
      <vt:variant>
        <vt:i4>1900592</vt:i4>
      </vt:variant>
      <vt:variant>
        <vt:i4>785</vt:i4>
      </vt:variant>
      <vt:variant>
        <vt:i4>0</vt:i4>
      </vt:variant>
      <vt:variant>
        <vt:i4>5</vt:i4>
      </vt:variant>
      <vt:variant>
        <vt:lpwstr/>
      </vt:variant>
      <vt:variant>
        <vt:lpwstr>_Toc332979692</vt:lpwstr>
      </vt:variant>
      <vt:variant>
        <vt:i4>1900592</vt:i4>
      </vt:variant>
      <vt:variant>
        <vt:i4>779</vt:i4>
      </vt:variant>
      <vt:variant>
        <vt:i4>0</vt:i4>
      </vt:variant>
      <vt:variant>
        <vt:i4>5</vt:i4>
      </vt:variant>
      <vt:variant>
        <vt:lpwstr/>
      </vt:variant>
      <vt:variant>
        <vt:lpwstr>_Toc332979691</vt:lpwstr>
      </vt:variant>
      <vt:variant>
        <vt:i4>1900592</vt:i4>
      </vt:variant>
      <vt:variant>
        <vt:i4>773</vt:i4>
      </vt:variant>
      <vt:variant>
        <vt:i4>0</vt:i4>
      </vt:variant>
      <vt:variant>
        <vt:i4>5</vt:i4>
      </vt:variant>
      <vt:variant>
        <vt:lpwstr/>
      </vt:variant>
      <vt:variant>
        <vt:lpwstr>_Toc332979690</vt:lpwstr>
      </vt:variant>
      <vt:variant>
        <vt:i4>1835056</vt:i4>
      </vt:variant>
      <vt:variant>
        <vt:i4>767</vt:i4>
      </vt:variant>
      <vt:variant>
        <vt:i4>0</vt:i4>
      </vt:variant>
      <vt:variant>
        <vt:i4>5</vt:i4>
      </vt:variant>
      <vt:variant>
        <vt:lpwstr/>
      </vt:variant>
      <vt:variant>
        <vt:lpwstr>_Toc332979689</vt:lpwstr>
      </vt:variant>
      <vt:variant>
        <vt:i4>1835056</vt:i4>
      </vt:variant>
      <vt:variant>
        <vt:i4>761</vt:i4>
      </vt:variant>
      <vt:variant>
        <vt:i4>0</vt:i4>
      </vt:variant>
      <vt:variant>
        <vt:i4>5</vt:i4>
      </vt:variant>
      <vt:variant>
        <vt:lpwstr/>
      </vt:variant>
      <vt:variant>
        <vt:lpwstr>_Toc332979688</vt:lpwstr>
      </vt:variant>
      <vt:variant>
        <vt:i4>1835056</vt:i4>
      </vt:variant>
      <vt:variant>
        <vt:i4>755</vt:i4>
      </vt:variant>
      <vt:variant>
        <vt:i4>0</vt:i4>
      </vt:variant>
      <vt:variant>
        <vt:i4>5</vt:i4>
      </vt:variant>
      <vt:variant>
        <vt:lpwstr/>
      </vt:variant>
      <vt:variant>
        <vt:lpwstr>_Toc332979687</vt:lpwstr>
      </vt:variant>
      <vt:variant>
        <vt:i4>1835056</vt:i4>
      </vt:variant>
      <vt:variant>
        <vt:i4>749</vt:i4>
      </vt:variant>
      <vt:variant>
        <vt:i4>0</vt:i4>
      </vt:variant>
      <vt:variant>
        <vt:i4>5</vt:i4>
      </vt:variant>
      <vt:variant>
        <vt:lpwstr/>
      </vt:variant>
      <vt:variant>
        <vt:lpwstr>_Toc332979686</vt:lpwstr>
      </vt:variant>
      <vt:variant>
        <vt:i4>1835056</vt:i4>
      </vt:variant>
      <vt:variant>
        <vt:i4>743</vt:i4>
      </vt:variant>
      <vt:variant>
        <vt:i4>0</vt:i4>
      </vt:variant>
      <vt:variant>
        <vt:i4>5</vt:i4>
      </vt:variant>
      <vt:variant>
        <vt:lpwstr/>
      </vt:variant>
      <vt:variant>
        <vt:lpwstr>_Toc332979685</vt:lpwstr>
      </vt:variant>
      <vt:variant>
        <vt:i4>1835056</vt:i4>
      </vt:variant>
      <vt:variant>
        <vt:i4>737</vt:i4>
      </vt:variant>
      <vt:variant>
        <vt:i4>0</vt:i4>
      </vt:variant>
      <vt:variant>
        <vt:i4>5</vt:i4>
      </vt:variant>
      <vt:variant>
        <vt:lpwstr/>
      </vt:variant>
      <vt:variant>
        <vt:lpwstr>_Toc332979684</vt:lpwstr>
      </vt:variant>
      <vt:variant>
        <vt:i4>1835056</vt:i4>
      </vt:variant>
      <vt:variant>
        <vt:i4>731</vt:i4>
      </vt:variant>
      <vt:variant>
        <vt:i4>0</vt:i4>
      </vt:variant>
      <vt:variant>
        <vt:i4>5</vt:i4>
      </vt:variant>
      <vt:variant>
        <vt:lpwstr/>
      </vt:variant>
      <vt:variant>
        <vt:lpwstr>_Toc332979683</vt:lpwstr>
      </vt:variant>
      <vt:variant>
        <vt:i4>1835056</vt:i4>
      </vt:variant>
      <vt:variant>
        <vt:i4>725</vt:i4>
      </vt:variant>
      <vt:variant>
        <vt:i4>0</vt:i4>
      </vt:variant>
      <vt:variant>
        <vt:i4>5</vt:i4>
      </vt:variant>
      <vt:variant>
        <vt:lpwstr/>
      </vt:variant>
      <vt:variant>
        <vt:lpwstr>_Toc332979682</vt:lpwstr>
      </vt:variant>
      <vt:variant>
        <vt:i4>1835056</vt:i4>
      </vt:variant>
      <vt:variant>
        <vt:i4>719</vt:i4>
      </vt:variant>
      <vt:variant>
        <vt:i4>0</vt:i4>
      </vt:variant>
      <vt:variant>
        <vt:i4>5</vt:i4>
      </vt:variant>
      <vt:variant>
        <vt:lpwstr/>
      </vt:variant>
      <vt:variant>
        <vt:lpwstr>_Toc332979681</vt:lpwstr>
      </vt:variant>
      <vt:variant>
        <vt:i4>1835056</vt:i4>
      </vt:variant>
      <vt:variant>
        <vt:i4>713</vt:i4>
      </vt:variant>
      <vt:variant>
        <vt:i4>0</vt:i4>
      </vt:variant>
      <vt:variant>
        <vt:i4>5</vt:i4>
      </vt:variant>
      <vt:variant>
        <vt:lpwstr/>
      </vt:variant>
      <vt:variant>
        <vt:lpwstr>_Toc332979680</vt:lpwstr>
      </vt:variant>
      <vt:variant>
        <vt:i4>1245232</vt:i4>
      </vt:variant>
      <vt:variant>
        <vt:i4>707</vt:i4>
      </vt:variant>
      <vt:variant>
        <vt:i4>0</vt:i4>
      </vt:variant>
      <vt:variant>
        <vt:i4>5</vt:i4>
      </vt:variant>
      <vt:variant>
        <vt:lpwstr/>
      </vt:variant>
      <vt:variant>
        <vt:lpwstr>_Toc332979679</vt:lpwstr>
      </vt:variant>
      <vt:variant>
        <vt:i4>1245232</vt:i4>
      </vt:variant>
      <vt:variant>
        <vt:i4>701</vt:i4>
      </vt:variant>
      <vt:variant>
        <vt:i4>0</vt:i4>
      </vt:variant>
      <vt:variant>
        <vt:i4>5</vt:i4>
      </vt:variant>
      <vt:variant>
        <vt:lpwstr/>
      </vt:variant>
      <vt:variant>
        <vt:lpwstr>_Toc332979678</vt:lpwstr>
      </vt:variant>
      <vt:variant>
        <vt:i4>1245232</vt:i4>
      </vt:variant>
      <vt:variant>
        <vt:i4>695</vt:i4>
      </vt:variant>
      <vt:variant>
        <vt:i4>0</vt:i4>
      </vt:variant>
      <vt:variant>
        <vt:i4>5</vt:i4>
      </vt:variant>
      <vt:variant>
        <vt:lpwstr/>
      </vt:variant>
      <vt:variant>
        <vt:lpwstr>_Toc332979677</vt:lpwstr>
      </vt:variant>
      <vt:variant>
        <vt:i4>1245232</vt:i4>
      </vt:variant>
      <vt:variant>
        <vt:i4>689</vt:i4>
      </vt:variant>
      <vt:variant>
        <vt:i4>0</vt:i4>
      </vt:variant>
      <vt:variant>
        <vt:i4>5</vt:i4>
      </vt:variant>
      <vt:variant>
        <vt:lpwstr/>
      </vt:variant>
      <vt:variant>
        <vt:lpwstr>_Toc332979676</vt:lpwstr>
      </vt:variant>
      <vt:variant>
        <vt:i4>1245232</vt:i4>
      </vt:variant>
      <vt:variant>
        <vt:i4>683</vt:i4>
      </vt:variant>
      <vt:variant>
        <vt:i4>0</vt:i4>
      </vt:variant>
      <vt:variant>
        <vt:i4>5</vt:i4>
      </vt:variant>
      <vt:variant>
        <vt:lpwstr/>
      </vt:variant>
      <vt:variant>
        <vt:lpwstr>_Toc332979675</vt:lpwstr>
      </vt:variant>
      <vt:variant>
        <vt:i4>1245232</vt:i4>
      </vt:variant>
      <vt:variant>
        <vt:i4>677</vt:i4>
      </vt:variant>
      <vt:variant>
        <vt:i4>0</vt:i4>
      </vt:variant>
      <vt:variant>
        <vt:i4>5</vt:i4>
      </vt:variant>
      <vt:variant>
        <vt:lpwstr/>
      </vt:variant>
      <vt:variant>
        <vt:lpwstr>_Toc332979674</vt:lpwstr>
      </vt:variant>
      <vt:variant>
        <vt:i4>1245232</vt:i4>
      </vt:variant>
      <vt:variant>
        <vt:i4>671</vt:i4>
      </vt:variant>
      <vt:variant>
        <vt:i4>0</vt:i4>
      </vt:variant>
      <vt:variant>
        <vt:i4>5</vt:i4>
      </vt:variant>
      <vt:variant>
        <vt:lpwstr/>
      </vt:variant>
      <vt:variant>
        <vt:lpwstr>_Toc332979673</vt:lpwstr>
      </vt:variant>
      <vt:variant>
        <vt:i4>1245232</vt:i4>
      </vt:variant>
      <vt:variant>
        <vt:i4>665</vt:i4>
      </vt:variant>
      <vt:variant>
        <vt:i4>0</vt:i4>
      </vt:variant>
      <vt:variant>
        <vt:i4>5</vt:i4>
      </vt:variant>
      <vt:variant>
        <vt:lpwstr/>
      </vt:variant>
      <vt:variant>
        <vt:lpwstr>_Toc332979672</vt:lpwstr>
      </vt:variant>
      <vt:variant>
        <vt:i4>1245232</vt:i4>
      </vt:variant>
      <vt:variant>
        <vt:i4>659</vt:i4>
      </vt:variant>
      <vt:variant>
        <vt:i4>0</vt:i4>
      </vt:variant>
      <vt:variant>
        <vt:i4>5</vt:i4>
      </vt:variant>
      <vt:variant>
        <vt:lpwstr/>
      </vt:variant>
      <vt:variant>
        <vt:lpwstr>_Toc332979671</vt:lpwstr>
      </vt:variant>
      <vt:variant>
        <vt:i4>1245232</vt:i4>
      </vt:variant>
      <vt:variant>
        <vt:i4>653</vt:i4>
      </vt:variant>
      <vt:variant>
        <vt:i4>0</vt:i4>
      </vt:variant>
      <vt:variant>
        <vt:i4>5</vt:i4>
      </vt:variant>
      <vt:variant>
        <vt:lpwstr/>
      </vt:variant>
      <vt:variant>
        <vt:lpwstr>_Toc332979670</vt:lpwstr>
      </vt:variant>
      <vt:variant>
        <vt:i4>1179696</vt:i4>
      </vt:variant>
      <vt:variant>
        <vt:i4>647</vt:i4>
      </vt:variant>
      <vt:variant>
        <vt:i4>0</vt:i4>
      </vt:variant>
      <vt:variant>
        <vt:i4>5</vt:i4>
      </vt:variant>
      <vt:variant>
        <vt:lpwstr/>
      </vt:variant>
      <vt:variant>
        <vt:lpwstr>_Toc332979669</vt:lpwstr>
      </vt:variant>
      <vt:variant>
        <vt:i4>1179696</vt:i4>
      </vt:variant>
      <vt:variant>
        <vt:i4>641</vt:i4>
      </vt:variant>
      <vt:variant>
        <vt:i4>0</vt:i4>
      </vt:variant>
      <vt:variant>
        <vt:i4>5</vt:i4>
      </vt:variant>
      <vt:variant>
        <vt:lpwstr/>
      </vt:variant>
      <vt:variant>
        <vt:lpwstr>_Toc332979668</vt:lpwstr>
      </vt:variant>
      <vt:variant>
        <vt:i4>1179696</vt:i4>
      </vt:variant>
      <vt:variant>
        <vt:i4>635</vt:i4>
      </vt:variant>
      <vt:variant>
        <vt:i4>0</vt:i4>
      </vt:variant>
      <vt:variant>
        <vt:i4>5</vt:i4>
      </vt:variant>
      <vt:variant>
        <vt:lpwstr/>
      </vt:variant>
      <vt:variant>
        <vt:lpwstr>_Toc332979667</vt:lpwstr>
      </vt:variant>
      <vt:variant>
        <vt:i4>1179696</vt:i4>
      </vt:variant>
      <vt:variant>
        <vt:i4>629</vt:i4>
      </vt:variant>
      <vt:variant>
        <vt:i4>0</vt:i4>
      </vt:variant>
      <vt:variant>
        <vt:i4>5</vt:i4>
      </vt:variant>
      <vt:variant>
        <vt:lpwstr/>
      </vt:variant>
      <vt:variant>
        <vt:lpwstr>_Toc332979666</vt:lpwstr>
      </vt:variant>
      <vt:variant>
        <vt:i4>1179696</vt:i4>
      </vt:variant>
      <vt:variant>
        <vt:i4>623</vt:i4>
      </vt:variant>
      <vt:variant>
        <vt:i4>0</vt:i4>
      </vt:variant>
      <vt:variant>
        <vt:i4>5</vt:i4>
      </vt:variant>
      <vt:variant>
        <vt:lpwstr/>
      </vt:variant>
      <vt:variant>
        <vt:lpwstr>_Toc332979665</vt:lpwstr>
      </vt:variant>
      <vt:variant>
        <vt:i4>1179696</vt:i4>
      </vt:variant>
      <vt:variant>
        <vt:i4>617</vt:i4>
      </vt:variant>
      <vt:variant>
        <vt:i4>0</vt:i4>
      </vt:variant>
      <vt:variant>
        <vt:i4>5</vt:i4>
      </vt:variant>
      <vt:variant>
        <vt:lpwstr/>
      </vt:variant>
      <vt:variant>
        <vt:lpwstr>_Toc332979664</vt:lpwstr>
      </vt:variant>
      <vt:variant>
        <vt:i4>1179696</vt:i4>
      </vt:variant>
      <vt:variant>
        <vt:i4>611</vt:i4>
      </vt:variant>
      <vt:variant>
        <vt:i4>0</vt:i4>
      </vt:variant>
      <vt:variant>
        <vt:i4>5</vt:i4>
      </vt:variant>
      <vt:variant>
        <vt:lpwstr/>
      </vt:variant>
      <vt:variant>
        <vt:lpwstr>_Toc332979663</vt:lpwstr>
      </vt:variant>
      <vt:variant>
        <vt:i4>1179696</vt:i4>
      </vt:variant>
      <vt:variant>
        <vt:i4>605</vt:i4>
      </vt:variant>
      <vt:variant>
        <vt:i4>0</vt:i4>
      </vt:variant>
      <vt:variant>
        <vt:i4>5</vt:i4>
      </vt:variant>
      <vt:variant>
        <vt:lpwstr/>
      </vt:variant>
      <vt:variant>
        <vt:lpwstr>_Toc332979662</vt:lpwstr>
      </vt:variant>
      <vt:variant>
        <vt:i4>1179696</vt:i4>
      </vt:variant>
      <vt:variant>
        <vt:i4>599</vt:i4>
      </vt:variant>
      <vt:variant>
        <vt:i4>0</vt:i4>
      </vt:variant>
      <vt:variant>
        <vt:i4>5</vt:i4>
      </vt:variant>
      <vt:variant>
        <vt:lpwstr/>
      </vt:variant>
      <vt:variant>
        <vt:lpwstr>_Toc332979661</vt:lpwstr>
      </vt:variant>
      <vt:variant>
        <vt:i4>1179696</vt:i4>
      </vt:variant>
      <vt:variant>
        <vt:i4>593</vt:i4>
      </vt:variant>
      <vt:variant>
        <vt:i4>0</vt:i4>
      </vt:variant>
      <vt:variant>
        <vt:i4>5</vt:i4>
      </vt:variant>
      <vt:variant>
        <vt:lpwstr/>
      </vt:variant>
      <vt:variant>
        <vt:lpwstr>_Toc332979660</vt:lpwstr>
      </vt:variant>
      <vt:variant>
        <vt:i4>1114160</vt:i4>
      </vt:variant>
      <vt:variant>
        <vt:i4>587</vt:i4>
      </vt:variant>
      <vt:variant>
        <vt:i4>0</vt:i4>
      </vt:variant>
      <vt:variant>
        <vt:i4>5</vt:i4>
      </vt:variant>
      <vt:variant>
        <vt:lpwstr/>
      </vt:variant>
      <vt:variant>
        <vt:lpwstr>_Toc332979659</vt:lpwstr>
      </vt:variant>
      <vt:variant>
        <vt:i4>1114160</vt:i4>
      </vt:variant>
      <vt:variant>
        <vt:i4>581</vt:i4>
      </vt:variant>
      <vt:variant>
        <vt:i4>0</vt:i4>
      </vt:variant>
      <vt:variant>
        <vt:i4>5</vt:i4>
      </vt:variant>
      <vt:variant>
        <vt:lpwstr/>
      </vt:variant>
      <vt:variant>
        <vt:lpwstr>_Toc332979658</vt:lpwstr>
      </vt:variant>
      <vt:variant>
        <vt:i4>1114160</vt:i4>
      </vt:variant>
      <vt:variant>
        <vt:i4>575</vt:i4>
      </vt:variant>
      <vt:variant>
        <vt:i4>0</vt:i4>
      </vt:variant>
      <vt:variant>
        <vt:i4>5</vt:i4>
      </vt:variant>
      <vt:variant>
        <vt:lpwstr/>
      </vt:variant>
      <vt:variant>
        <vt:lpwstr>_Toc332979657</vt:lpwstr>
      </vt:variant>
      <vt:variant>
        <vt:i4>1114160</vt:i4>
      </vt:variant>
      <vt:variant>
        <vt:i4>569</vt:i4>
      </vt:variant>
      <vt:variant>
        <vt:i4>0</vt:i4>
      </vt:variant>
      <vt:variant>
        <vt:i4>5</vt:i4>
      </vt:variant>
      <vt:variant>
        <vt:lpwstr/>
      </vt:variant>
      <vt:variant>
        <vt:lpwstr>_Toc332979656</vt:lpwstr>
      </vt:variant>
      <vt:variant>
        <vt:i4>1114160</vt:i4>
      </vt:variant>
      <vt:variant>
        <vt:i4>563</vt:i4>
      </vt:variant>
      <vt:variant>
        <vt:i4>0</vt:i4>
      </vt:variant>
      <vt:variant>
        <vt:i4>5</vt:i4>
      </vt:variant>
      <vt:variant>
        <vt:lpwstr/>
      </vt:variant>
      <vt:variant>
        <vt:lpwstr>_Toc332979655</vt:lpwstr>
      </vt:variant>
      <vt:variant>
        <vt:i4>1114160</vt:i4>
      </vt:variant>
      <vt:variant>
        <vt:i4>557</vt:i4>
      </vt:variant>
      <vt:variant>
        <vt:i4>0</vt:i4>
      </vt:variant>
      <vt:variant>
        <vt:i4>5</vt:i4>
      </vt:variant>
      <vt:variant>
        <vt:lpwstr/>
      </vt:variant>
      <vt:variant>
        <vt:lpwstr>_Toc332979654</vt:lpwstr>
      </vt:variant>
      <vt:variant>
        <vt:i4>1114160</vt:i4>
      </vt:variant>
      <vt:variant>
        <vt:i4>551</vt:i4>
      </vt:variant>
      <vt:variant>
        <vt:i4>0</vt:i4>
      </vt:variant>
      <vt:variant>
        <vt:i4>5</vt:i4>
      </vt:variant>
      <vt:variant>
        <vt:lpwstr/>
      </vt:variant>
      <vt:variant>
        <vt:lpwstr>_Toc332979653</vt:lpwstr>
      </vt:variant>
      <vt:variant>
        <vt:i4>1114160</vt:i4>
      </vt:variant>
      <vt:variant>
        <vt:i4>545</vt:i4>
      </vt:variant>
      <vt:variant>
        <vt:i4>0</vt:i4>
      </vt:variant>
      <vt:variant>
        <vt:i4>5</vt:i4>
      </vt:variant>
      <vt:variant>
        <vt:lpwstr/>
      </vt:variant>
      <vt:variant>
        <vt:lpwstr>_Toc332979652</vt:lpwstr>
      </vt:variant>
      <vt:variant>
        <vt:i4>1114160</vt:i4>
      </vt:variant>
      <vt:variant>
        <vt:i4>539</vt:i4>
      </vt:variant>
      <vt:variant>
        <vt:i4>0</vt:i4>
      </vt:variant>
      <vt:variant>
        <vt:i4>5</vt:i4>
      </vt:variant>
      <vt:variant>
        <vt:lpwstr/>
      </vt:variant>
      <vt:variant>
        <vt:lpwstr>_Toc332979651</vt:lpwstr>
      </vt:variant>
      <vt:variant>
        <vt:i4>1114160</vt:i4>
      </vt:variant>
      <vt:variant>
        <vt:i4>533</vt:i4>
      </vt:variant>
      <vt:variant>
        <vt:i4>0</vt:i4>
      </vt:variant>
      <vt:variant>
        <vt:i4>5</vt:i4>
      </vt:variant>
      <vt:variant>
        <vt:lpwstr/>
      </vt:variant>
      <vt:variant>
        <vt:lpwstr>_Toc332979650</vt:lpwstr>
      </vt:variant>
      <vt:variant>
        <vt:i4>1048624</vt:i4>
      </vt:variant>
      <vt:variant>
        <vt:i4>527</vt:i4>
      </vt:variant>
      <vt:variant>
        <vt:i4>0</vt:i4>
      </vt:variant>
      <vt:variant>
        <vt:i4>5</vt:i4>
      </vt:variant>
      <vt:variant>
        <vt:lpwstr/>
      </vt:variant>
      <vt:variant>
        <vt:lpwstr>_Toc332979649</vt:lpwstr>
      </vt:variant>
      <vt:variant>
        <vt:i4>1048624</vt:i4>
      </vt:variant>
      <vt:variant>
        <vt:i4>521</vt:i4>
      </vt:variant>
      <vt:variant>
        <vt:i4>0</vt:i4>
      </vt:variant>
      <vt:variant>
        <vt:i4>5</vt:i4>
      </vt:variant>
      <vt:variant>
        <vt:lpwstr/>
      </vt:variant>
      <vt:variant>
        <vt:lpwstr>_Toc332979648</vt:lpwstr>
      </vt:variant>
      <vt:variant>
        <vt:i4>1048624</vt:i4>
      </vt:variant>
      <vt:variant>
        <vt:i4>515</vt:i4>
      </vt:variant>
      <vt:variant>
        <vt:i4>0</vt:i4>
      </vt:variant>
      <vt:variant>
        <vt:i4>5</vt:i4>
      </vt:variant>
      <vt:variant>
        <vt:lpwstr/>
      </vt:variant>
      <vt:variant>
        <vt:lpwstr>_Toc332979647</vt:lpwstr>
      </vt:variant>
      <vt:variant>
        <vt:i4>1048624</vt:i4>
      </vt:variant>
      <vt:variant>
        <vt:i4>509</vt:i4>
      </vt:variant>
      <vt:variant>
        <vt:i4>0</vt:i4>
      </vt:variant>
      <vt:variant>
        <vt:i4>5</vt:i4>
      </vt:variant>
      <vt:variant>
        <vt:lpwstr/>
      </vt:variant>
      <vt:variant>
        <vt:lpwstr>_Toc332979646</vt:lpwstr>
      </vt:variant>
      <vt:variant>
        <vt:i4>1048624</vt:i4>
      </vt:variant>
      <vt:variant>
        <vt:i4>503</vt:i4>
      </vt:variant>
      <vt:variant>
        <vt:i4>0</vt:i4>
      </vt:variant>
      <vt:variant>
        <vt:i4>5</vt:i4>
      </vt:variant>
      <vt:variant>
        <vt:lpwstr/>
      </vt:variant>
      <vt:variant>
        <vt:lpwstr>_Toc332979645</vt:lpwstr>
      </vt:variant>
      <vt:variant>
        <vt:i4>1048624</vt:i4>
      </vt:variant>
      <vt:variant>
        <vt:i4>497</vt:i4>
      </vt:variant>
      <vt:variant>
        <vt:i4>0</vt:i4>
      </vt:variant>
      <vt:variant>
        <vt:i4>5</vt:i4>
      </vt:variant>
      <vt:variant>
        <vt:lpwstr/>
      </vt:variant>
      <vt:variant>
        <vt:lpwstr>_Toc332979644</vt:lpwstr>
      </vt:variant>
      <vt:variant>
        <vt:i4>1048624</vt:i4>
      </vt:variant>
      <vt:variant>
        <vt:i4>491</vt:i4>
      </vt:variant>
      <vt:variant>
        <vt:i4>0</vt:i4>
      </vt:variant>
      <vt:variant>
        <vt:i4>5</vt:i4>
      </vt:variant>
      <vt:variant>
        <vt:lpwstr/>
      </vt:variant>
      <vt:variant>
        <vt:lpwstr>_Toc332979643</vt:lpwstr>
      </vt:variant>
      <vt:variant>
        <vt:i4>1048624</vt:i4>
      </vt:variant>
      <vt:variant>
        <vt:i4>485</vt:i4>
      </vt:variant>
      <vt:variant>
        <vt:i4>0</vt:i4>
      </vt:variant>
      <vt:variant>
        <vt:i4>5</vt:i4>
      </vt:variant>
      <vt:variant>
        <vt:lpwstr/>
      </vt:variant>
      <vt:variant>
        <vt:lpwstr>_Toc332979642</vt:lpwstr>
      </vt:variant>
      <vt:variant>
        <vt:i4>1048624</vt:i4>
      </vt:variant>
      <vt:variant>
        <vt:i4>479</vt:i4>
      </vt:variant>
      <vt:variant>
        <vt:i4>0</vt:i4>
      </vt:variant>
      <vt:variant>
        <vt:i4>5</vt:i4>
      </vt:variant>
      <vt:variant>
        <vt:lpwstr/>
      </vt:variant>
      <vt:variant>
        <vt:lpwstr>_Toc332979641</vt:lpwstr>
      </vt:variant>
      <vt:variant>
        <vt:i4>1048624</vt:i4>
      </vt:variant>
      <vt:variant>
        <vt:i4>473</vt:i4>
      </vt:variant>
      <vt:variant>
        <vt:i4>0</vt:i4>
      </vt:variant>
      <vt:variant>
        <vt:i4>5</vt:i4>
      </vt:variant>
      <vt:variant>
        <vt:lpwstr/>
      </vt:variant>
      <vt:variant>
        <vt:lpwstr>_Toc332979640</vt:lpwstr>
      </vt:variant>
      <vt:variant>
        <vt:i4>1507376</vt:i4>
      </vt:variant>
      <vt:variant>
        <vt:i4>467</vt:i4>
      </vt:variant>
      <vt:variant>
        <vt:i4>0</vt:i4>
      </vt:variant>
      <vt:variant>
        <vt:i4>5</vt:i4>
      </vt:variant>
      <vt:variant>
        <vt:lpwstr/>
      </vt:variant>
      <vt:variant>
        <vt:lpwstr>_Toc332979639</vt:lpwstr>
      </vt:variant>
      <vt:variant>
        <vt:i4>1507376</vt:i4>
      </vt:variant>
      <vt:variant>
        <vt:i4>461</vt:i4>
      </vt:variant>
      <vt:variant>
        <vt:i4>0</vt:i4>
      </vt:variant>
      <vt:variant>
        <vt:i4>5</vt:i4>
      </vt:variant>
      <vt:variant>
        <vt:lpwstr/>
      </vt:variant>
      <vt:variant>
        <vt:lpwstr>_Toc332979638</vt:lpwstr>
      </vt:variant>
      <vt:variant>
        <vt:i4>1507376</vt:i4>
      </vt:variant>
      <vt:variant>
        <vt:i4>455</vt:i4>
      </vt:variant>
      <vt:variant>
        <vt:i4>0</vt:i4>
      </vt:variant>
      <vt:variant>
        <vt:i4>5</vt:i4>
      </vt:variant>
      <vt:variant>
        <vt:lpwstr/>
      </vt:variant>
      <vt:variant>
        <vt:lpwstr>_Toc332979637</vt:lpwstr>
      </vt:variant>
      <vt:variant>
        <vt:i4>1507376</vt:i4>
      </vt:variant>
      <vt:variant>
        <vt:i4>449</vt:i4>
      </vt:variant>
      <vt:variant>
        <vt:i4>0</vt:i4>
      </vt:variant>
      <vt:variant>
        <vt:i4>5</vt:i4>
      </vt:variant>
      <vt:variant>
        <vt:lpwstr/>
      </vt:variant>
      <vt:variant>
        <vt:lpwstr>_Toc332979636</vt:lpwstr>
      </vt:variant>
      <vt:variant>
        <vt:i4>1507376</vt:i4>
      </vt:variant>
      <vt:variant>
        <vt:i4>443</vt:i4>
      </vt:variant>
      <vt:variant>
        <vt:i4>0</vt:i4>
      </vt:variant>
      <vt:variant>
        <vt:i4>5</vt:i4>
      </vt:variant>
      <vt:variant>
        <vt:lpwstr/>
      </vt:variant>
      <vt:variant>
        <vt:lpwstr>_Toc332979635</vt:lpwstr>
      </vt:variant>
      <vt:variant>
        <vt:i4>1507376</vt:i4>
      </vt:variant>
      <vt:variant>
        <vt:i4>437</vt:i4>
      </vt:variant>
      <vt:variant>
        <vt:i4>0</vt:i4>
      </vt:variant>
      <vt:variant>
        <vt:i4>5</vt:i4>
      </vt:variant>
      <vt:variant>
        <vt:lpwstr/>
      </vt:variant>
      <vt:variant>
        <vt:lpwstr>_Toc332979634</vt:lpwstr>
      </vt:variant>
      <vt:variant>
        <vt:i4>1507376</vt:i4>
      </vt:variant>
      <vt:variant>
        <vt:i4>431</vt:i4>
      </vt:variant>
      <vt:variant>
        <vt:i4>0</vt:i4>
      </vt:variant>
      <vt:variant>
        <vt:i4>5</vt:i4>
      </vt:variant>
      <vt:variant>
        <vt:lpwstr/>
      </vt:variant>
      <vt:variant>
        <vt:lpwstr>_Toc332979633</vt:lpwstr>
      </vt:variant>
      <vt:variant>
        <vt:i4>1507376</vt:i4>
      </vt:variant>
      <vt:variant>
        <vt:i4>425</vt:i4>
      </vt:variant>
      <vt:variant>
        <vt:i4>0</vt:i4>
      </vt:variant>
      <vt:variant>
        <vt:i4>5</vt:i4>
      </vt:variant>
      <vt:variant>
        <vt:lpwstr/>
      </vt:variant>
      <vt:variant>
        <vt:lpwstr>_Toc332979632</vt:lpwstr>
      </vt:variant>
      <vt:variant>
        <vt:i4>1507376</vt:i4>
      </vt:variant>
      <vt:variant>
        <vt:i4>419</vt:i4>
      </vt:variant>
      <vt:variant>
        <vt:i4>0</vt:i4>
      </vt:variant>
      <vt:variant>
        <vt:i4>5</vt:i4>
      </vt:variant>
      <vt:variant>
        <vt:lpwstr/>
      </vt:variant>
      <vt:variant>
        <vt:lpwstr>_Toc332979631</vt:lpwstr>
      </vt:variant>
      <vt:variant>
        <vt:i4>1507376</vt:i4>
      </vt:variant>
      <vt:variant>
        <vt:i4>413</vt:i4>
      </vt:variant>
      <vt:variant>
        <vt:i4>0</vt:i4>
      </vt:variant>
      <vt:variant>
        <vt:i4>5</vt:i4>
      </vt:variant>
      <vt:variant>
        <vt:lpwstr/>
      </vt:variant>
      <vt:variant>
        <vt:lpwstr>_Toc332979630</vt:lpwstr>
      </vt:variant>
      <vt:variant>
        <vt:i4>1441840</vt:i4>
      </vt:variant>
      <vt:variant>
        <vt:i4>407</vt:i4>
      </vt:variant>
      <vt:variant>
        <vt:i4>0</vt:i4>
      </vt:variant>
      <vt:variant>
        <vt:i4>5</vt:i4>
      </vt:variant>
      <vt:variant>
        <vt:lpwstr/>
      </vt:variant>
      <vt:variant>
        <vt:lpwstr>_Toc332979629</vt:lpwstr>
      </vt:variant>
      <vt:variant>
        <vt:i4>1441840</vt:i4>
      </vt:variant>
      <vt:variant>
        <vt:i4>401</vt:i4>
      </vt:variant>
      <vt:variant>
        <vt:i4>0</vt:i4>
      </vt:variant>
      <vt:variant>
        <vt:i4>5</vt:i4>
      </vt:variant>
      <vt:variant>
        <vt:lpwstr/>
      </vt:variant>
      <vt:variant>
        <vt:lpwstr>_Toc332979628</vt:lpwstr>
      </vt:variant>
      <vt:variant>
        <vt:i4>1441840</vt:i4>
      </vt:variant>
      <vt:variant>
        <vt:i4>395</vt:i4>
      </vt:variant>
      <vt:variant>
        <vt:i4>0</vt:i4>
      </vt:variant>
      <vt:variant>
        <vt:i4>5</vt:i4>
      </vt:variant>
      <vt:variant>
        <vt:lpwstr/>
      </vt:variant>
      <vt:variant>
        <vt:lpwstr>_Toc332979627</vt:lpwstr>
      </vt:variant>
      <vt:variant>
        <vt:i4>1441840</vt:i4>
      </vt:variant>
      <vt:variant>
        <vt:i4>389</vt:i4>
      </vt:variant>
      <vt:variant>
        <vt:i4>0</vt:i4>
      </vt:variant>
      <vt:variant>
        <vt:i4>5</vt:i4>
      </vt:variant>
      <vt:variant>
        <vt:lpwstr/>
      </vt:variant>
      <vt:variant>
        <vt:lpwstr>_Toc332979626</vt:lpwstr>
      </vt:variant>
      <vt:variant>
        <vt:i4>1441840</vt:i4>
      </vt:variant>
      <vt:variant>
        <vt:i4>383</vt:i4>
      </vt:variant>
      <vt:variant>
        <vt:i4>0</vt:i4>
      </vt:variant>
      <vt:variant>
        <vt:i4>5</vt:i4>
      </vt:variant>
      <vt:variant>
        <vt:lpwstr/>
      </vt:variant>
      <vt:variant>
        <vt:lpwstr>_Toc332979625</vt:lpwstr>
      </vt:variant>
      <vt:variant>
        <vt:i4>1441840</vt:i4>
      </vt:variant>
      <vt:variant>
        <vt:i4>377</vt:i4>
      </vt:variant>
      <vt:variant>
        <vt:i4>0</vt:i4>
      </vt:variant>
      <vt:variant>
        <vt:i4>5</vt:i4>
      </vt:variant>
      <vt:variant>
        <vt:lpwstr/>
      </vt:variant>
      <vt:variant>
        <vt:lpwstr>_Toc332979624</vt:lpwstr>
      </vt:variant>
      <vt:variant>
        <vt:i4>1441840</vt:i4>
      </vt:variant>
      <vt:variant>
        <vt:i4>371</vt:i4>
      </vt:variant>
      <vt:variant>
        <vt:i4>0</vt:i4>
      </vt:variant>
      <vt:variant>
        <vt:i4>5</vt:i4>
      </vt:variant>
      <vt:variant>
        <vt:lpwstr/>
      </vt:variant>
      <vt:variant>
        <vt:lpwstr>_Toc332979623</vt:lpwstr>
      </vt:variant>
      <vt:variant>
        <vt:i4>1441840</vt:i4>
      </vt:variant>
      <vt:variant>
        <vt:i4>365</vt:i4>
      </vt:variant>
      <vt:variant>
        <vt:i4>0</vt:i4>
      </vt:variant>
      <vt:variant>
        <vt:i4>5</vt:i4>
      </vt:variant>
      <vt:variant>
        <vt:lpwstr/>
      </vt:variant>
      <vt:variant>
        <vt:lpwstr>_Toc332979622</vt:lpwstr>
      </vt:variant>
      <vt:variant>
        <vt:i4>1441840</vt:i4>
      </vt:variant>
      <vt:variant>
        <vt:i4>359</vt:i4>
      </vt:variant>
      <vt:variant>
        <vt:i4>0</vt:i4>
      </vt:variant>
      <vt:variant>
        <vt:i4>5</vt:i4>
      </vt:variant>
      <vt:variant>
        <vt:lpwstr/>
      </vt:variant>
      <vt:variant>
        <vt:lpwstr>_Toc332979621</vt:lpwstr>
      </vt:variant>
      <vt:variant>
        <vt:i4>1441840</vt:i4>
      </vt:variant>
      <vt:variant>
        <vt:i4>353</vt:i4>
      </vt:variant>
      <vt:variant>
        <vt:i4>0</vt:i4>
      </vt:variant>
      <vt:variant>
        <vt:i4>5</vt:i4>
      </vt:variant>
      <vt:variant>
        <vt:lpwstr/>
      </vt:variant>
      <vt:variant>
        <vt:lpwstr>_Toc332979620</vt:lpwstr>
      </vt:variant>
      <vt:variant>
        <vt:i4>1376304</vt:i4>
      </vt:variant>
      <vt:variant>
        <vt:i4>347</vt:i4>
      </vt:variant>
      <vt:variant>
        <vt:i4>0</vt:i4>
      </vt:variant>
      <vt:variant>
        <vt:i4>5</vt:i4>
      </vt:variant>
      <vt:variant>
        <vt:lpwstr/>
      </vt:variant>
      <vt:variant>
        <vt:lpwstr>_Toc332979619</vt:lpwstr>
      </vt:variant>
      <vt:variant>
        <vt:i4>1376304</vt:i4>
      </vt:variant>
      <vt:variant>
        <vt:i4>341</vt:i4>
      </vt:variant>
      <vt:variant>
        <vt:i4>0</vt:i4>
      </vt:variant>
      <vt:variant>
        <vt:i4>5</vt:i4>
      </vt:variant>
      <vt:variant>
        <vt:lpwstr/>
      </vt:variant>
      <vt:variant>
        <vt:lpwstr>_Toc332979618</vt:lpwstr>
      </vt:variant>
      <vt:variant>
        <vt:i4>1376304</vt:i4>
      </vt:variant>
      <vt:variant>
        <vt:i4>335</vt:i4>
      </vt:variant>
      <vt:variant>
        <vt:i4>0</vt:i4>
      </vt:variant>
      <vt:variant>
        <vt:i4>5</vt:i4>
      </vt:variant>
      <vt:variant>
        <vt:lpwstr/>
      </vt:variant>
      <vt:variant>
        <vt:lpwstr>_Toc332979617</vt:lpwstr>
      </vt:variant>
      <vt:variant>
        <vt:i4>1376304</vt:i4>
      </vt:variant>
      <vt:variant>
        <vt:i4>329</vt:i4>
      </vt:variant>
      <vt:variant>
        <vt:i4>0</vt:i4>
      </vt:variant>
      <vt:variant>
        <vt:i4>5</vt:i4>
      </vt:variant>
      <vt:variant>
        <vt:lpwstr/>
      </vt:variant>
      <vt:variant>
        <vt:lpwstr>_Toc332979616</vt:lpwstr>
      </vt:variant>
      <vt:variant>
        <vt:i4>1376304</vt:i4>
      </vt:variant>
      <vt:variant>
        <vt:i4>323</vt:i4>
      </vt:variant>
      <vt:variant>
        <vt:i4>0</vt:i4>
      </vt:variant>
      <vt:variant>
        <vt:i4>5</vt:i4>
      </vt:variant>
      <vt:variant>
        <vt:lpwstr/>
      </vt:variant>
      <vt:variant>
        <vt:lpwstr>_Toc332979615</vt:lpwstr>
      </vt:variant>
      <vt:variant>
        <vt:i4>1376304</vt:i4>
      </vt:variant>
      <vt:variant>
        <vt:i4>317</vt:i4>
      </vt:variant>
      <vt:variant>
        <vt:i4>0</vt:i4>
      </vt:variant>
      <vt:variant>
        <vt:i4>5</vt:i4>
      </vt:variant>
      <vt:variant>
        <vt:lpwstr/>
      </vt:variant>
      <vt:variant>
        <vt:lpwstr>_Toc332979614</vt:lpwstr>
      </vt:variant>
      <vt:variant>
        <vt:i4>1376304</vt:i4>
      </vt:variant>
      <vt:variant>
        <vt:i4>311</vt:i4>
      </vt:variant>
      <vt:variant>
        <vt:i4>0</vt:i4>
      </vt:variant>
      <vt:variant>
        <vt:i4>5</vt:i4>
      </vt:variant>
      <vt:variant>
        <vt:lpwstr/>
      </vt:variant>
      <vt:variant>
        <vt:lpwstr>_Toc332979613</vt:lpwstr>
      </vt:variant>
      <vt:variant>
        <vt:i4>1376304</vt:i4>
      </vt:variant>
      <vt:variant>
        <vt:i4>305</vt:i4>
      </vt:variant>
      <vt:variant>
        <vt:i4>0</vt:i4>
      </vt:variant>
      <vt:variant>
        <vt:i4>5</vt:i4>
      </vt:variant>
      <vt:variant>
        <vt:lpwstr/>
      </vt:variant>
      <vt:variant>
        <vt:lpwstr>_Toc332979612</vt:lpwstr>
      </vt:variant>
      <vt:variant>
        <vt:i4>1376304</vt:i4>
      </vt:variant>
      <vt:variant>
        <vt:i4>299</vt:i4>
      </vt:variant>
      <vt:variant>
        <vt:i4>0</vt:i4>
      </vt:variant>
      <vt:variant>
        <vt:i4>5</vt:i4>
      </vt:variant>
      <vt:variant>
        <vt:lpwstr/>
      </vt:variant>
      <vt:variant>
        <vt:lpwstr>_Toc332979611</vt:lpwstr>
      </vt:variant>
      <vt:variant>
        <vt:i4>1376304</vt:i4>
      </vt:variant>
      <vt:variant>
        <vt:i4>293</vt:i4>
      </vt:variant>
      <vt:variant>
        <vt:i4>0</vt:i4>
      </vt:variant>
      <vt:variant>
        <vt:i4>5</vt:i4>
      </vt:variant>
      <vt:variant>
        <vt:lpwstr/>
      </vt:variant>
      <vt:variant>
        <vt:lpwstr>_Toc332979610</vt:lpwstr>
      </vt:variant>
      <vt:variant>
        <vt:i4>1310768</vt:i4>
      </vt:variant>
      <vt:variant>
        <vt:i4>287</vt:i4>
      </vt:variant>
      <vt:variant>
        <vt:i4>0</vt:i4>
      </vt:variant>
      <vt:variant>
        <vt:i4>5</vt:i4>
      </vt:variant>
      <vt:variant>
        <vt:lpwstr/>
      </vt:variant>
      <vt:variant>
        <vt:lpwstr>_Toc332979609</vt:lpwstr>
      </vt:variant>
      <vt:variant>
        <vt:i4>1310768</vt:i4>
      </vt:variant>
      <vt:variant>
        <vt:i4>281</vt:i4>
      </vt:variant>
      <vt:variant>
        <vt:i4>0</vt:i4>
      </vt:variant>
      <vt:variant>
        <vt:i4>5</vt:i4>
      </vt:variant>
      <vt:variant>
        <vt:lpwstr/>
      </vt:variant>
      <vt:variant>
        <vt:lpwstr>_Toc332979608</vt:lpwstr>
      </vt:variant>
      <vt:variant>
        <vt:i4>1310768</vt:i4>
      </vt:variant>
      <vt:variant>
        <vt:i4>275</vt:i4>
      </vt:variant>
      <vt:variant>
        <vt:i4>0</vt:i4>
      </vt:variant>
      <vt:variant>
        <vt:i4>5</vt:i4>
      </vt:variant>
      <vt:variant>
        <vt:lpwstr/>
      </vt:variant>
      <vt:variant>
        <vt:lpwstr>_Toc332979607</vt:lpwstr>
      </vt:variant>
      <vt:variant>
        <vt:i4>1310768</vt:i4>
      </vt:variant>
      <vt:variant>
        <vt:i4>269</vt:i4>
      </vt:variant>
      <vt:variant>
        <vt:i4>0</vt:i4>
      </vt:variant>
      <vt:variant>
        <vt:i4>5</vt:i4>
      </vt:variant>
      <vt:variant>
        <vt:lpwstr/>
      </vt:variant>
      <vt:variant>
        <vt:lpwstr>_Toc332979606</vt:lpwstr>
      </vt:variant>
      <vt:variant>
        <vt:i4>1310768</vt:i4>
      </vt:variant>
      <vt:variant>
        <vt:i4>263</vt:i4>
      </vt:variant>
      <vt:variant>
        <vt:i4>0</vt:i4>
      </vt:variant>
      <vt:variant>
        <vt:i4>5</vt:i4>
      </vt:variant>
      <vt:variant>
        <vt:lpwstr/>
      </vt:variant>
      <vt:variant>
        <vt:lpwstr>_Toc332979605</vt:lpwstr>
      </vt:variant>
      <vt:variant>
        <vt:i4>1310768</vt:i4>
      </vt:variant>
      <vt:variant>
        <vt:i4>257</vt:i4>
      </vt:variant>
      <vt:variant>
        <vt:i4>0</vt:i4>
      </vt:variant>
      <vt:variant>
        <vt:i4>5</vt:i4>
      </vt:variant>
      <vt:variant>
        <vt:lpwstr/>
      </vt:variant>
      <vt:variant>
        <vt:lpwstr>_Toc332979604</vt:lpwstr>
      </vt:variant>
      <vt:variant>
        <vt:i4>1310768</vt:i4>
      </vt:variant>
      <vt:variant>
        <vt:i4>251</vt:i4>
      </vt:variant>
      <vt:variant>
        <vt:i4>0</vt:i4>
      </vt:variant>
      <vt:variant>
        <vt:i4>5</vt:i4>
      </vt:variant>
      <vt:variant>
        <vt:lpwstr/>
      </vt:variant>
      <vt:variant>
        <vt:lpwstr>_Toc332979603</vt:lpwstr>
      </vt:variant>
      <vt:variant>
        <vt:i4>1310768</vt:i4>
      </vt:variant>
      <vt:variant>
        <vt:i4>245</vt:i4>
      </vt:variant>
      <vt:variant>
        <vt:i4>0</vt:i4>
      </vt:variant>
      <vt:variant>
        <vt:i4>5</vt:i4>
      </vt:variant>
      <vt:variant>
        <vt:lpwstr/>
      </vt:variant>
      <vt:variant>
        <vt:lpwstr>_Toc332979602</vt:lpwstr>
      </vt:variant>
      <vt:variant>
        <vt:i4>1310768</vt:i4>
      </vt:variant>
      <vt:variant>
        <vt:i4>239</vt:i4>
      </vt:variant>
      <vt:variant>
        <vt:i4>0</vt:i4>
      </vt:variant>
      <vt:variant>
        <vt:i4>5</vt:i4>
      </vt:variant>
      <vt:variant>
        <vt:lpwstr/>
      </vt:variant>
      <vt:variant>
        <vt:lpwstr>_Toc332979601</vt:lpwstr>
      </vt:variant>
      <vt:variant>
        <vt:i4>1310768</vt:i4>
      </vt:variant>
      <vt:variant>
        <vt:i4>233</vt:i4>
      </vt:variant>
      <vt:variant>
        <vt:i4>0</vt:i4>
      </vt:variant>
      <vt:variant>
        <vt:i4>5</vt:i4>
      </vt:variant>
      <vt:variant>
        <vt:lpwstr/>
      </vt:variant>
      <vt:variant>
        <vt:lpwstr>_Toc332979600</vt:lpwstr>
      </vt:variant>
      <vt:variant>
        <vt:i4>1900595</vt:i4>
      </vt:variant>
      <vt:variant>
        <vt:i4>227</vt:i4>
      </vt:variant>
      <vt:variant>
        <vt:i4>0</vt:i4>
      </vt:variant>
      <vt:variant>
        <vt:i4>5</vt:i4>
      </vt:variant>
      <vt:variant>
        <vt:lpwstr/>
      </vt:variant>
      <vt:variant>
        <vt:lpwstr>_Toc332979599</vt:lpwstr>
      </vt:variant>
      <vt:variant>
        <vt:i4>1900595</vt:i4>
      </vt:variant>
      <vt:variant>
        <vt:i4>221</vt:i4>
      </vt:variant>
      <vt:variant>
        <vt:i4>0</vt:i4>
      </vt:variant>
      <vt:variant>
        <vt:i4>5</vt:i4>
      </vt:variant>
      <vt:variant>
        <vt:lpwstr/>
      </vt:variant>
      <vt:variant>
        <vt:lpwstr>_Toc332979598</vt:lpwstr>
      </vt:variant>
      <vt:variant>
        <vt:i4>1900595</vt:i4>
      </vt:variant>
      <vt:variant>
        <vt:i4>215</vt:i4>
      </vt:variant>
      <vt:variant>
        <vt:i4>0</vt:i4>
      </vt:variant>
      <vt:variant>
        <vt:i4>5</vt:i4>
      </vt:variant>
      <vt:variant>
        <vt:lpwstr/>
      </vt:variant>
      <vt:variant>
        <vt:lpwstr>_Toc332979597</vt:lpwstr>
      </vt:variant>
      <vt:variant>
        <vt:i4>1900595</vt:i4>
      </vt:variant>
      <vt:variant>
        <vt:i4>209</vt:i4>
      </vt:variant>
      <vt:variant>
        <vt:i4>0</vt:i4>
      </vt:variant>
      <vt:variant>
        <vt:i4>5</vt:i4>
      </vt:variant>
      <vt:variant>
        <vt:lpwstr/>
      </vt:variant>
      <vt:variant>
        <vt:lpwstr>_Toc332979596</vt:lpwstr>
      </vt:variant>
      <vt:variant>
        <vt:i4>1900595</vt:i4>
      </vt:variant>
      <vt:variant>
        <vt:i4>203</vt:i4>
      </vt:variant>
      <vt:variant>
        <vt:i4>0</vt:i4>
      </vt:variant>
      <vt:variant>
        <vt:i4>5</vt:i4>
      </vt:variant>
      <vt:variant>
        <vt:lpwstr/>
      </vt:variant>
      <vt:variant>
        <vt:lpwstr>_Toc332979595</vt:lpwstr>
      </vt:variant>
      <vt:variant>
        <vt:i4>1900595</vt:i4>
      </vt:variant>
      <vt:variant>
        <vt:i4>197</vt:i4>
      </vt:variant>
      <vt:variant>
        <vt:i4>0</vt:i4>
      </vt:variant>
      <vt:variant>
        <vt:i4>5</vt:i4>
      </vt:variant>
      <vt:variant>
        <vt:lpwstr/>
      </vt:variant>
      <vt:variant>
        <vt:lpwstr>_Toc332979594</vt:lpwstr>
      </vt:variant>
      <vt:variant>
        <vt:i4>1900595</vt:i4>
      </vt:variant>
      <vt:variant>
        <vt:i4>191</vt:i4>
      </vt:variant>
      <vt:variant>
        <vt:i4>0</vt:i4>
      </vt:variant>
      <vt:variant>
        <vt:i4>5</vt:i4>
      </vt:variant>
      <vt:variant>
        <vt:lpwstr/>
      </vt:variant>
      <vt:variant>
        <vt:lpwstr>_Toc332979593</vt:lpwstr>
      </vt:variant>
      <vt:variant>
        <vt:i4>1900595</vt:i4>
      </vt:variant>
      <vt:variant>
        <vt:i4>185</vt:i4>
      </vt:variant>
      <vt:variant>
        <vt:i4>0</vt:i4>
      </vt:variant>
      <vt:variant>
        <vt:i4>5</vt:i4>
      </vt:variant>
      <vt:variant>
        <vt:lpwstr/>
      </vt:variant>
      <vt:variant>
        <vt:lpwstr>_Toc332979592</vt:lpwstr>
      </vt:variant>
      <vt:variant>
        <vt:i4>1900595</vt:i4>
      </vt:variant>
      <vt:variant>
        <vt:i4>179</vt:i4>
      </vt:variant>
      <vt:variant>
        <vt:i4>0</vt:i4>
      </vt:variant>
      <vt:variant>
        <vt:i4>5</vt:i4>
      </vt:variant>
      <vt:variant>
        <vt:lpwstr/>
      </vt:variant>
      <vt:variant>
        <vt:lpwstr>_Toc332979591</vt:lpwstr>
      </vt:variant>
      <vt:variant>
        <vt:i4>1900595</vt:i4>
      </vt:variant>
      <vt:variant>
        <vt:i4>173</vt:i4>
      </vt:variant>
      <vt:variant>
        <vt:i4>0</vt:i4>
      </vt:variant>
      <vt:variant>
        <vt:i4>5</vt:i4>
      </vt:variant>
      <vt:variant>
        <vt:lpwstr/>
      </vt:variant>
      <vt:variant>
        <vt:lpwstr>_Toc332979590</vt:lpwstr>
      </vt:variant>
      <vt:variant>
        <vt:i4>1835059</vt:i4>
      </vt:variant>
      <vt:variant>
        <vt:i4>167</vt:i4>
      </vt:variant>
      <vt:variant>
        <vt:i4>0</vt:i4>
      </vt:variant>
      <vt:variant>
        <vt:i4>5</vt:i4>
      </vt:variant>
      <vt:variant>
        <vt:lpwstr/>
      </vt:variant>
      <vt:variant>
        <vt:lpwstr>_Toc332979589</vt:lpwstr>
      </vt:variant>
      <vt:variant>
        <vt:i4>1835059</vt:i4>
      </vt:variant>
      <vt:variant>
        <vt:i4>161</vt:i4>
      </vt:variant>
      <vt:variant>
        <vt:i4>0</vt:i4>
      </vt:variant>
      <vt:variant>
        <vt:i4>5</vt:i4>
      </vt:variant>
      <vt:variant>
        <vt:lpwstr/>
      </vt:variant>
      <vt:variant>
        <vt:lpwstr>_Toc332979588</vt:lpwstr>
      </vt:variant>
      <vt:variant>
        <vt:i4>1835059</vt:i4>
      </vt:variant>
      <vt:variant>
        <vt:i4>155</vt:i4>
      </vt:variant>
      <vt:variant>
        <vt:i4>0</vt:i4>
      </vt:variant>
      <vt:variant>
        <vt:i4>5</vt:i4>
      </vt:variant>
      <vt:variant>
        <vt:lpwstr/>
      </vt:variant>
      <vt:variant>
        <vt:lpwstr>_Toc332979587</vt:lpwstr>
      </vt:variant>
      <vt:variant>
        <vt:i4>1835059</vt:i4>
      </vt:variant>
      <vt:variant>
        <vt:i4>149</vt:i4>
      </vt:variant>
      <vt:variant>
        <vt:i4>0</vt:i4>
      </vt:variant>
      <vt:variant>
        <vt:i4>5</vt:i4>
      </vt:variant>
      <vt:variant>
        <vt:lpwstr/>
      </vt:variant>
      <vt:variant>
        <vt:lpwstr>_Toc332979586</vt:lpwstr>
      </vt:variant>
      <vt:variant>
        <vt:i4>1835059</vt:i4>
      </vt:variant>
      <vt:variant>
        <vt:i4>143</vt:i4>
      </vt:variant>
      <vt:variant>
        <vt:i4>0</vt:i4>
      </vt:variant>
      <vt:variant>
        <vt:i4>5</vt:i4>
      </vt:variant>
      <vt:variant>
        <vt:lpwstr/>
      </vt:variant>
      <vt:variant>
        <vt:lpwstr>_Toc332979585</vt:lpwstr>
      </vt:variant>
      <vt:variant>
        <vt:i4>1835059</vt:i4>
      </vt:variant>
      <vt:variant>
        <vt:i4>137</vt:i4>
      </vt:variant>
      <vt:variant>
        <vt:i4>0</vt:i4>
      </vt:variant>
      <vt:variant>
        <vt:i4>5</vt:i4>
      </vt:variant>
      <vt:variant>
        <vt:lpwstr/>
      </vt:variant>
      <vt:variant>
        <vt:lpwstr>_Toc332979584</vt:lpwstr>
      </vt:variant>
      <vt:variant>
        <vt:i4>1835059</vt:i4>
      </vt:variant>
      <vt:variant>
        <vt:i4>131</vt:i4>
      </vt:variant>
      <vt:variant>
        <vt:i4>0</vt:i4>
      </vt:variant>
      <vt:variant>
        <vt:i4>5</vt:i4>
      </vt:variant>
      <vt:variant>
        <vt:lpwstr/>
      </vt:variant>
      <vt:variant>
        <vt:lpwstr>_Toc332979583</vt:lpwstr>
      </vt:variant>
      <vt:variant>
        <vt:i4>1835059</vt:i4>
      </vt:variant>
      <vt:variant>
        <vt:i4>125</vt:i4>
      </vt:variant>
      <vt:variant>
        <vt:i4>0</vt:i4>
      </vt:variant>
      <vt:variant>
        <vt:i4>5</vt:i4>
      </vt:variant>
      <vt:variant>
        <vt:lpwstr/>
      </vt:variant>
      <vt:variant>
        <vt:lpwstr>_Toc332979582</vt:lpwstr>
      </vt:variant>
      <vt:variant>
        <vt:i4>1835059</vt:i4>
      </vt:variant>
      <vt:variant>
        <vt:i4>119</vt:i4>
      </vt:variant>
      <vt:variant>
        <vt:i4>0</vt:i4>
      </vt:variant>
      <vt:variant>
        <vt:i4>5</vt:i4>
      </vt:variant>
      <vt:variant>
        <vt:lpwstr/>
      </vt:variant>
      <vt:variant>
        <vt:lpwstr>_Toc332979581</vt:lpwstr>
      </vt:variant>
      <vt:variant>
        <vt:i4>1835059</vt:i4>
      </vt:variant>
      <vt:variant>
        <vt:i4>113</vt:i4>
      </vt:variant>
      <vt:variant>
        <vt:i4>0</vt:i4>
      </vt:variant>
      <vt:variant>
        <vt:i4>5</vt:i4>
      </vt:variant>
      <vt:variant>
        <vt:lpwstr/>
      </vt:variant>
      <vt:variant>
        <vt:lpwstr>_Toc332979580</vt:lpwstr>
      </vt:variant>
      <vt:variant>
        <vt:i4>1245235</vt:i4>
      </vt:variant>
      <vt:variant>
        <vt:i4>107</vt:i4>
      </vt:variant>
      <vt:variant>
        <vt:i4>0</vt:i4>
      </vt:variant>
      <vt:variant>
        <vt:i4>5</vt:i4>
      </vt:variant>
      <vt:variant>
        <vt:lpwstr/>
      </vt:variant>
      <vt:variant>
        <vt:lpwstr>_Toc332979579</vt:lpwstr>
      </vt:variant>
      <vt:variant>
        <vt:i4>1245235</vt:i4>
      </vt:variant>
      <vt:variant>
        <vt:i4>101</vt:i4>
      </vt:variant>
      <vt:variant>
        <vt:i4>0</vt:i4>
      </vt:variant>
      <vt:variant>
        <vt:i4>5</vt:i4>
      </vt:variant>
      <vt:variant>
        <vt:lpwstr/>
      </vt:variant>
      <vt:variant>
        <vt:lpwstr>_Toc332979578</vt:lpwstr>
      </vt:variant>
      <vt:variant>
        <vt:i4>1245235</vt:i4>
      </vt:variant>
      <vt:variant>
        <vt:i4>95</vt:i4>
      </vt:variant>
      <vt:variant>
        <vt:i4>0</vt:i4>
      </vt:variant>
      <vt:variant>
        <vt:i4>5</vt:i4>
      </vt:variant>
      <vt:variant>
        <vt:lpwstr/>
      </vt:variant>
      <vt:variant>
        <vt:lpwstr>_Toc332979577</vt:lpwstr>
      </vt:variant>
      <vt:variant>
        <vt:i4>1245235</vt:i4>
      </vt:variant>
      <vt:variant>
        <vt:i4>89</vt:i4>
      </vt:variant>
      <vt:variant>
        <vt:i4>0</vt:i4>
      </vt:variant>
      <vt:variant>
        <vt:i4>5</vt:i4>
      </vt:variant>
      <vt:variant>
        <vt:lpwstr/>
      </vt:variant>
      <vt:variant>
        <vt:lpwstr>_Toc332979576</vt:lpwstr>
      </vt:variant>
      <vt:variant>
        <vt:i4>1245235</vt:i4>
      </vt:variant>
      <vt:variant>
        <vt:i4>83</vt:i4>
      </vt:variant>
      <vt:variant>
        <vt:i4>0</vt:i4>
      </vt:variant>
      <vt:variant>
        <vt:i4>5</vt:i4>
      </vt:variant>
      <vt:variant>
        <vt:lpwstr/>
      </vt:variant>
      <vt:variant>
        <vt:lpwstr>_Toc332979575</vt:lpwstr>
      </vt:variant>
      <vt:variant>
        <vt:i4>1245235</vt:i4>
      </vt:variant>
      <vt:variant>
        <vt:i4>77</vt:i4>
      </vt:variant>
      <vt:variant>
        <vt:i4>0</vt:i4>
      </vt:variant>
      <vt:variant>
        <vt:i4>5</vt:i4>
      </vt:variant>
      <vt:variant>
        <vt:lpwstr/>
      </vt:variant>
      <vt:variant>
        <vt:lpwstr>_Toc332979574</vt:lpwstr>
      </vt:variant>
      <vt:variant>
        <vt:i4>1245235</vt:i4>
      </vt:variant>
      <vt:variant>
        <vt:i4>71</vt:i4>
      </vt:variant>
      <vt:variant>
        <vt:i4>0</vt:i4>
      </vt:variant>
      <vt:variant>
        <vt:i4>5</vt:i4>
      </vt:variant>
      <vt:variant>
        <vt:lpwstr/>
      </vt:variant>
      <vt:variant>
        <vt:lpwstr>_Toc332979573</vt:lpwstr>
      </vt:variant>
      <vt:variant>
        <vt:i4>1245235</vt:i4>
      </vt:variant>
      <vt:variant>
        <vt:i4>65</vt:i4>
      </vt:variant>
      <vt:variant>
        <vt:i4>0</vt:i4>
      </vt:variant>
      <vt:variant>
        <vt:i4>5</vt:i4>
      </vt:variant>
      <vt:variant>
        <vt:lpwstr/>
      </vt:variant>
      <vt:variant>
        <vt:lpwstr>_Toc332979572</vt:lpwstr>
      </vt:variant>
      <vt:variant>
        <vt:i4>1245235</vt:i4>
      </vt:variant>
      <vt:variant>
        <vt:i4>59</vt:i4>
      </vt:variant>
      <vt:variant>
        <vt:i4>0</vt:i4>
      </vt:variant>
      <vt:variant>
        <vt:i4>5</vt:i4>
      </vt:variant>
      <vt:variant>
        <vt:lpwstr/>
      </vt:variant>
      <vt:variant>
        <vt:lpwstr>_Toc332979571</vt:lpwstr>
      </vt:variant>
      <vt:variant>
        <vt:i4>1245235</vt:i4>
      </vt:variant>
      <vt:variant>
        <vt:i4>53</vt:i4>
      </vt:variant>
      <vt:variant>
        <vt:i4>0</vt:i4>
      </vt:variant>
      <vt:variant>
        <vt:i4>5</vt:i4>
      </vt:variant>
      <vt:variant>
        <vt:lpwstr/>
      </vt:variant>
      <vt:variant>
        <vt:lpwstr>_Toc332979570</vt:lpwstr>
      </vt:variant>
      <vt:variant>
        <vt:i4>1179699</vt:i4>
      </vt:variant>
      <vt:variant>
        <vt:i4>47</vt:i4>
      </vt:variant>
      <vt:variant>
        <vt:i4>0</vt:i4>
      </vt:variant>
      <vt:variant>
        <vt:i4>5</vt:i4>
      </vt:variant>
      <vt:variant>
        <vt:lpwstr/>
      </vt:variant>
      <vt:variant>
        <vt:lpwstr>_Toc332979569</vt:lpwstr>
      </vt:variant>
      <vt:variant>
        <vt:i4>1179699</vt:i4>
      </vt:variant>
      <vt:variant>
        <vt:i4>41</vt:i4>
      </vt:variant>
      <vt:variant>
        <vt:i4>0</vt:i4>
      </vt:variant>
      <vt:variant>
        <vt:i4>5</vt:i4>
      </vt:variant>
      <vt:variant>
        <vt:lpwstr/>
      </vt:variant>
      <vt:variant>
        <vt:lpwstr>_Toc332979568</vt:lpwstr>
      </vt:variant>
      <vt:variant>
        <vt:i4>1179699</vt:i4>
      </vt:variant>
      <vt:variant>
        <vt:i4>35</vt:i4>
      </vt:variant>
      <vt:variant>
        <vt:i4>0</vt:i4>
      </vt:variant>
      <vt:variant>
        <vt:i4>5</vt:i4>
      </vt:variant>
      <vt:variant>
        <vt:lpwstr/>
      </vt:variant>
      <vt:variant>
        <vt:lpwstr>_Toc332979567</vt:lpwstr>
      </vt:variant>
      <vt:variant>
        <vt:i4>1179699</vt:i4>
      </vt:variant>
      <vt:variant>
        <vt:i4>29</vt:i4>
      </vt:variant>
      <vt:variant>
        <vt:i4>0</vt:i4>
      </vt:variant>
      <vt:variant>
        <vt:i4>5</vt:i4>
      </vt:variant>
      <vt:variant>
        <vt:lpwstr/>
      </vt:variant>
      <vt:variant>
        <vt:lpwstr>_Toc332979566</vt:lpwstr>
      </vt:variant>
      <vt:variant>
        <vt:i4>1179699</vt:i4>
      </vt:variant>
      <vt:variant>
        <vt:i4>23</vt:i4>
      </vt:variant>
      <vt:variant>
        <vt:i4>0</vt:i4>
      </vt:variant>
      <vt:variant>
        <vt:i4>5</vt:i4>
      </vt:variant>
      <vt:variant>
        <vt:lpwstr/>
      </vt:variant>
      <vt:variant>
        <vt:lpwstr>_Toc332979565</vt:lpwstr>
      </vt:variant>
      <vt:variant>
        <vt:i4>1179699</vt:i4>
      </vt:variant>
      <vt:variant>
        <vt:i4>17</vt:i4>
      </vt:variant>
      <vt:variant>
        <vt:i4>0</vt:i4>
      </vt:variant>
      <vt:variant>
        <vt:i4>5</vt:i4>
      </vt:variant>
      <vt:variant>
        <vt:lpwstr/>
      </vt:variant>
      <vt:variant>
        <vt:lpwstr>_Toc332979564</vt:lpwstr>
      </vt:variant>
      <vt:variant>
        <vt:i4>1179699</vt:i4>
      </vt:variant>
      <vt:variant>
        <vt:i4>11</vt:i4>
      </vt:variant>
      <vt:variant>
        <vt:i4>0</vt:i4>
      </vt:variant>
      <vt:variant>
        <vt:i4>5</vt:i4>
      </vt:variant>
      <vt:variant>
        <vt:lpwstr/>
      </vt:variant>
      <vt:variant>
        <vt:lpwstr>_Toc332979563</vt:lpwstr>
      </vt:variant>
      <vt:variant>
        <vt:i4>1179699</vt:i4>
      </vt:variant>
      <vt:variant>
        <vt:i4>5</vt:i4>
      </vt:variant>
      <vt:variant>
        <vt:i4>0</vt:i4>
      </vt:variant>
      <vt:variant>
        <vt:i4>5</vt:i4>
      </vt:variant>
      <vt:variant>
        <vt:lpwstr/>
      </vt:variant>
      <vt:variant>
        <vt:lpwstr>_Toc332979562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Russell</dc:creator>
  <cp:lastModifiedBy>Cindy Childers</cp:lastModifiedBy>
  <cp:revision>20</cp:revision>
  <cp:lastPrinted>2017-10-20T23:07:00Z</cp:lastPrinted>
  <dcterms:created xsi:type="dcterms:W3CDTF">2017-03-18T00:04:00Z</dcterms:created>
  <dcterms:modified xsi:type="dcterms:W3CDTF">2017-10-25T20:08:00Z</dcterms:modified>
</cp:coreProperties>
</file>